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E4" w:rsidRPr="00025B12" w:rsidRDefault="00DA15E4" w:rsidP="000C6631">
      <w:pPr>
        <w:pBdr>
          <w:top w:val="single" w:sz="4" w:space="1" w:color="auto"/>
          <w:left w:val="single" w:sz="4" w:space="4" w:color="auto"/>
          <w:bottom w:val="single" w:sz="4" w:space="1" w:color="auto"/>
          <w:right w:val="single" w:sz="4" w:space="4" w:color="auto"/>
        </w:pBdr>
        <w:shd w:val="clear" w:color="auto" w:fill="F2F2F2" w:themeFill="background1" w:themeFillShade="F2"/>
        <w:jc w:val="center"/>
        <w:outlineLvl w:val="0"/>
        <w:rPr>
          <w:rFonts w:ascii="Verdana" w:hAnsi="Verdana"/>
          <w:b/>
          <w:caps/>
          <w:color w:val="365F91"/>
          <w:sz w:val="28"/>
          <w:szCs w:val="28"/>
        </w:rPr>
      </w:pPr>
      <w:r w:rsidRPr="00025B12">
        <w:rPr>
          <w:rFonts w:ascii="Verdana" w:hAnsi="Verdana"/>
          <w:b/>
          <w:caps/>
          <w:color w:val="365F91"/>
          <w:sz w:val="28"/>
          <w:szCs w:val="28"/>
        </w:rPr>
        <w:t>Monitoring dalšího vzdělávání</w:t>
      </w:r>
    </w:p>
    <w:p w:rsidR="003D3E9E" w:rsidRPr="00025B12" w:rsidRDefault="003D3E9E" w:rsidP="003D3E9E">
      <w:pPr>
        <w:spacing w:after="0" w:line="240" w:lineRule="auto"/>
        <w:jc w:val="center"/>
        <w:rPr>
          <w:rFonts w:ascii="Verdana" w:eastAsia="Times New Roman" w:hAnsi="Verdana"/>
          <w:b/>
          <w:color w:val="365F91"/>
          <w:sz w:val="44"/>
          <w:szCs w:val="44"/>
          <w:lang w:eastAsia="cs-CZ"/>
        </w:rPr>
      </w:pPr>
    </w:p>
    <w:p w:rsidR="003D3E9E" w:rsidRPr="00025B12" w:rsidRDefault="003D3E9E"/>
    <w:p w:rsidR="003D3B0B" w:rsidRPr="00025B12" w:rsidRDefault="003D3B0B" w:rsidP="000C6631">
      <w:pPr>
        <w:spacing w:after="0" w:line="240" w:lineRule="auto"/>
        <w:jc w:val="center"/>
        <w:outlineLvl w:val="0"/>
        <w:rPr>
          <w:rFonts w:ascii="Verdana" w:eastAsia="Times New Roman" w:hAnsi="Verdana"/>
          <w:b/>
          <w:caps/>
          <w:color w:val="365F91"/>
          <w:sz w:val="40"/>
          <w:szCs w:val="40"/>
          <w:lang w:eastAsia="cs-CZ"/>
        </w:rPr>
      </w:pPr>
      <w:r w:rsidRPr="00025B12">
        <w:rPr>
          <w:rFonts w:ascii="Verdana" w:eastAsia="Times New Roman" w:hAnsi="Verdana"/>
          <w:b/>
          <w:caps/>
          <w:color w:val="365F91"/>
          <w:sz w:val="40"/>
          <w:szCs w:val="40"/>
          <w:lang w:eastAsia="cs-CZ"/>
        </w:rPr>
        <w:t xml:space="preserve">Návrh souboru ukazatelů </w:t>
      </w:r>
    </w:p>
    <w:p w:rsidR="00A47614" w:rsidRPr="00025B12" w:rsidRDefault="003D3B0B" w:rsidP="003D3E9E">
      <w:pPr>
        <w:spacing w:after="0" w:line="240" w:lineRule="auto"/>
        <w:jc w:val="center"/>
        <w:rPr>
          <w:rFonts w:ascii="Verdana" w:eastAsia="Times New Roman" w:hAnsi="Verdana"/>
          <w:b/>
          <w:caps/>
          <w:color w:val="365F91"/>
          <w:sz w:val="40"/>
          <w:szCs w:val="40"/>
          <w:lang w:eastAsia="cs-CZ"/>
        </w:rPr>
      </w:pPr>
      <w:r w:rsidRPr="00025B12">
        <w:rPr>
          <w:rFonts w:ascii="Verdana" w:eastAsia="Times New Roman" w:hAnsi="Verdana"/>
          <w:b/>
          <w:caps/>
          <w:color w:val="365F91"/>
          <w:sz w:val="40"/>
          <w:szCs w:val="40"/>
          <w:lang w:eastAsia="cs-CZ"/>
        </w:rPr>
        <w:t>pro komplexní monitoring dalšího vzdělávání</w:t>
      </w:r>
    </w:p>
    <w:p w:rsidR="003D3E9E" w:rsidRPr="00025B12" w:rsidRDefault="003D3E9E" w:rsidP="003D3E9E">
      <w:pPr>
        <w:spacing w:after="0" w:line="240" w:lineRule="auto"/>
        <w:jc w:val="center"/>
        <w:rPr>
          <w:rFonts w:ascii="Verdana" w:eastAsia="Times New Roman" w:hAnsi="Verdana"/>
          <w:b/>
          <w:color w:val="365F91"/>
          <w:sz w:val="44"/>
          <w:szCs w:val="44"/>
          <w:lang w:eastAsia="cs-CZ"/>
        </w:rPr>
      </w:pPr>
    </w:p>
    <w:p w:rsidR="007C3AB9" w:rsidRPr="00025B12" w:rsidRDefault="007C3AB9" w:rsidP="007C3AB9">
      <w:pPr>
        <w:tabs>
          <w:tab w:val="left" w:pos="2268"/>
        </w:tabs>
        <w:ind w:left="2268" w:hanging="2268"/>
        <w:rPr>
          <w:rFonts w:ascii="Verdana" w:hAnsi="Verdana"/>
          <w:b/>
          <w:color w:val="365F91"/>
          <w:sz w:val="20"/>
        </w:rPr>
      </w:pPr>
      <w:r w:rsidRPr="00025B12">
        <w:rPr>
          <w:rFonts w:ascii="Verdana" w:hAnsi="Verdana"/>
          <w:b/>
          <w:color w:val="365F91"/>
          <w:sz w:val="20"/>
        </w:rPr>
        <w:t>Zakázka</w:t>
      </w:r>
      <w:r w:rsidRPr="00025B12">
        <w:rPr>
          <w:rFonts w:ascii="Verdana" w:hAnsi="Verdana"/>
          <w:color w:val="365F91"/>
          <w:sz w:val="20"/>
          <w:szCs w:val="20"/>
        </w:rPr>
        <w:t>:</w:t>
      </w:r>
      <w:r w:rsidRPr="00025B12">
        <w:rPr>
          <w:rFonts w:ascii="Verdana" w:hAnsi="Verdana"/>
          <w:sz w:val="20"/>
          <w:szCs w:val="20"/>
        </w:rPr>
        <w:tab/>
        <w:t>Zajištění koncepčního řešení v oblasti sladění vzdělávací nabídky s potřebami trhu práce, monitoringu dalšího vzdělávání včetně pilotního ověřování a realizace vybraných aktivit v těchto oblastech</w:t>
      </w:r>
      <w:r w:rsidRPr="00025B12">
        <w:rPr>
          <w:rFonts w:ascii="Verdana" w:hAnsi="Verdana"/>
          <w:b/>
          <w:color w:val="365F91"/>
          <w:sz w:val="20"/>
        </w:rPr>
        <w:t xml:space="preserve"> </w:t>
      </w:r>
    </w:p>
    <w:p w:rsidR="007C3AB9" w:rsidRPr="00025B12" w:rsidRDefault="007C3AB9" w:rsidP="007C3AB9">
      <w:pPr>
        <w:tabs>
          <w:tab w:val="left" w:pos="2268"/>
        </w:tabs>
        <w:ind w:left="2268" w:hanging="2268"/>
        <w:rPr>
          <w:rFonts w:ascii="Verdana" w:hAnsi="Verdana"/>
          <w:sz w:val="20"/>
          <w:szCs w:val="20"/>
        </w:rPr>
      </w:pPr>
      <w:r w:rsidRPr="00025B12">
        <w:rPr>
          <w:rFonts w:ascii="Verdana" w:hAnsi="Verdana"/>
          <w:b/>
          <w:color w:val="365F91"/>
          <w:sz w:val="20"/>
        </w:rPr>
        <w:t>Projekt:</w:t>
      </w:r>
      <w:r w:rsidRPr="00025B12">
        <w:rPr>
          <w:rFonts w:ascii="Verdana" w:hAnsi="Verdana"/>
          <w:sz w:val="20"/>
          <w:szCs w:val="20"/>
        </w:rPr>
        <w:tab/>
        <w:t>Koncept</w:t>
      </w:r>
    </w:p>
    <w:p w:rsidR="00EB4B32" w:rsidRPr="00025B12" w:rsidRDefault="00EB4B32" w:rsidP="00EB4B32">
      <w:pPr>
        <w:pStyle w:val="Label"/>
        <w:tabs>
          <w:tab w:val="left" w:pos="6615"/>
        </w:tabs>
        <w:spacing w:line="240" w:lineRule="auto"/>
        <w:rPr>
          <w:rFonts w:eastAsia="Calibri"/>
          <w:b w:val="0"/>
          <w:color w:val="auto"/>
          <w:sz w:val="20"/>
          <w:szCs w:val="20"/>
          <w:lang w:eastAsia="en-US"/>
        </w:rPr>
      </w:pPr>
      <w:r w:rsidRPr="00025B12">
        <w:rPr>
          <w:color w:val="365F91"/>
        </w:rPr>
        <w:t>Dodavatel:</w:t>
      </w:r>
      <w:r w:rsidRPr="00025B12">
        <w:tab/>
      </w:r>
      <w:r w:rsidRPr="00025B12">
        <w:rPr>
          <w:rFonts w:eastAsia="Calibri"/>
          <w:b w:val="0"/>
          <w:color w:val="auto"/>
          <w:sz w:val="20"/>
          <w:szCs w:val="20"/>
          <w:lang w:eastAsia="en-US"/>
        </w:rPr>
        <w:t>N</w:t>
      </w:r>
      <w:r w:rsidR="00262A6D" w:rsidRPr="00025B12">
        <w:rPr>
          <w:rFonts w:eastAsia="Calibri"/>
          <w:b w:val="0"/>
          <w:color w:val="auto"/>
          <w:sz w:val="20"/>
          <w:szCs w:val="20"/>
          <w:lang w:eastAsia="en-US"/>
        </w:rPr>
        <w:t>árodní vzdělávací fond, o.p.s.</w:t>
      </w:r>
    </w:p>
    <w:p w:rsidR="00EB4B32" w:rsidRPr="00025B12" w:rsidRDefault="00EB4B32" w:rsidP="00EB4B32">
      <w:pPr>
        <w:pStyle w:val="Label"/>
        <w:tabs>
          <w:tab w:val="left" w:pos="6615"/>
        </w:tabs>
        <w:spacing w:line="240" w:lineRule="auto"/>
        <w:rPr>
          <w:rFonts w:eastAsia="Calibri"/>
          <w:b w:val="0"/>
          <w:color w:val="auto"/>
          <w:sz w:val="20"/>
          <w:szCs w:val="20"/>
          <w:lang w:eastAsia="en-US"/>
        </w:rPr>
      </w:pPr>
      <w:r w:rsidRPr="00025B12">
        <w:rPr>
          <w:rFonts w:eastAsia="Calibri"/>
          <w:b w:val="0"/>
          <w:color w:val="auto"/>
          <w:sz w:val="20"/>
          <w:szCs w:val="20"/>
          <w:lang w:eastAsia="en-US"/>
        </w:rPr>
        <w:tab/>
        <w:t>úsek: Národní observatoř zaměstnanosti a vzdělávání</w:t>
      </w:r>
    </w:p>
    <w:p w:rsidR="00EB4B32" w:rsidRPr="00025B12" w:rsidRDefault="00EB4B32" w:rsidP="00EB4B32">
      <w:pPr>
        <w:pStyle w:val="Label"/>
        <w:tabs>
          <w:tab w:val="left" w:pos="6615"/>
        </w:tabs>
        <w:spacing w:line="240" w:lineRule="auto"/>
        <w:rPr>
          <w:color w:val="365F91"/>
        </w:rPr>
      </w:pPr>
    </w:p>
    <w:p w:rsidR="00EB4B32" w:rsidRPr="00025B12" w:rsidRDefault="00EB4B32" w:rsidP="00EB4B32">
      <w:pPr>
        <w:pStyle w:val="Label"/>
        <w:tabs>
          <w:tab w:val="left" w:pos="6615"/>
        </w:tabs>
        <w:spacing w:line="240" w:lineRule="auto"/>
        <w:rPr>
          <w:b w:val="0"/>
          <w:color w:val="auto"/>
        </w:rPr>
      </w:pPr>
      <w:r w:rsidRPr="00025B12">
        <w:rPr>
          <w:color w:val="365F91"/>
        </w:rPr>
        <w:t>Realizační tým:</w:t>
      </w:r>
      <w:r w:rsidRPr="00025B12">
        <w:rPr>
          <w:color w:val="365F91"/>
        </w:rPr>
        <w:tab/>
      </w:r>
      <w:r w:rsidRPr="00025B12">
        <w:rPr>
          <w:b w:val="0"/>
          <w:color w:val="auto"/>
          <w:sz w:val="20"/>
          <w:szCs w:val="20"/>
        </w:rPr>
        <w:t>Věra Czesaná – vedoucí realizačního týmu</w:t>
      </w:r>
    </w:p>
    <w:p w:rsidR="007C3AB9" w:rsidRPr="00025B12" w:rsidRDefault="00EB4B32" w:rsidP="00EB4B32">
      <w:pPr>
        <w:pStyle w:val="Label"/>
        <w:tabs>
          <w:tab w:val="left" w:pos="6615"/>
        </w:tabs>
        <w:spacing w:line="240" w:lineRule="auto"/>
        <w:rPr>
          <w:rFonts w:cs="Arial"/>
          <w:b w:val="0"/>
          <w:color w:val="auto"/>
        </w:rPr>
      </w:pPr>
      <w:r w:rsidRPr="00025B12">
        <w:rPr>
          <w:b w:val="0"/>
          <w:color w:val="auto"/>
        </w:rPr>
        <w:tab/>
      </w:r>
      <w:r w:rsidR="007C3AB9" w:rsidRPr="00025B12">
        <w:rPr>
          <w:b w:val="0"/>
          <w:color w:val="auto"/>
          <w:sz w:val="20"/>
          <w:szCs w:val="20"/>
        </w:rPr>
        <w:t xml:space="preserve">Hana Žáčková, </w:t>
      </w:r>
      <w:r w:rsidR="00142FBE" w:rsidRPr="00025B12">
        <w:rPr>
          <w:b w:val="0"/>
          <w:color w:val="auto"/>
          <w:sz w:val="20"/>
          <w:szCs w:val="20"/>
        </w:rPr>
        <w:t xml:space="preserve">Zdeňka Matoušková, </w:t>
      </w:r>
      <w:r w:rsidR="00D72AFD" w:rsidRPr="00025B12">
        <w:rPr>
          <w:b w:val="0"/>
          <w:color w:val="auto"/>
          <w:sz w:val="20"/>
          <w:szCs w:val="20"/>
        </w:rPr>
        <w:t xml:space="preserve">Tomáš Rašovec, </w:t>
      </w:r>
      <w:r w:rsidR="007C3AB9" w:rsidRPr="00025B12">
        <w:rPr>
          <w:b w:val="0"/>
          <w:color w:val="auto"/>
          <w:sz w:val="20"/>
          <w:szCs w:val="20"/>
        </w:rPr>
        <w:t xml:space="preserve">Jan Schubert, Věra </w:t>
      </w:r>
      <w:r w:rsidR="00142FBE" w:rsidRPr="00025B12">
        <w:rPr>
          <w:b w:val="0"/>
          <w:color w:val="auto"/>
          <w:sz w:val="20"/>
          <w:szCs w:val="20"/>
        </w:rPr>
        <w:t>Havlíčková, Marta Salavová, Zdeň</w:t>
      </w:r>
      <w:r w:rsidR="007C3AB9" w:rsidRPr="00025B12">
        <w:rPr>
          <w:b w:val="0"/>
          <w:color w:val="auto"/>
          <w:sz w:val="20"/>
          <w:szCs w:val="20"/>
        </w:rPr>
        <w:t>ka Šímová</w:t>
      </w:r>
      <w:r w:rsidR="00213212" w:rsidRPr="00025B12">
        <w:rPr>
          <w:b w:val="0"/>
          <w:color w:val="auto"/>
          <w:sz w:val="20"/>
          <w:szCs w:val="20"/>
        </w:rPr>
        <w:t>, Ivan Petrúšek</w:t>
      </w:r>
      <w:r w:rsidR="007C3AB9" w:rsidRPr="00025B12">
        <w:rPr>
          <w:rFonts w:cs="Arial"/>
          <w:b w:val="0"/>
          <w:color w:val="auto"/>
        </w:rPr>
        <w:tab/>
      </w:r>
    </w:p>
    <w:p w:rsidR="007C3AB9" w:rsidRPr="00025B12" w:rsidRDefault="007C3AB9" w:rsidP="007C3AB9">
      <w:pPr>
        <w:tabs>
          <w:tab w:val="left" w:pos="2268"/>
          <w:tab w:val="left" w:pos="6615"/>
        </w:tabs>
        <w:spacing w:before="40" w:after="60" w:line="360" w:lineRule="auto"/>
        <w:ind w:left="360"/>
        <w:jc w:val="center"/>
        <w:rPr>
          <w:rFonts w:ascii="Verdana" w:hAnsi="Verdana"/>
          <w:b/>
          <w:color w:val="1F497D"/>
          <w:sz w:val="20"/>
          <w:szCs w:val="20"/>
        </w:rPr>
      </w:pPr>
    </w:p>
    <w:p w:rsidR="00B602B4" w:rsidRPr="00025B12" w:rsidRDefault="00B602B4" w:rsidP="007C3AB9">
      <w:pPr>
        <w:tabs>
          <w:tab w:val="left" w:pos="2268"/>
          <w:tab w:val="left" w:pos="6615"/>
        </w:tabs>
        <w:spacing w:before="40" w:after="60" w:line="360" w:lineRule="auto"/>
        <w:ind w:left="360"/>
        <w:jc w:val="center"/>
        <w:rPr>
          <w:rFonts w:ascii="Verdana" w:hAnsi="Verdana"/>
          <w:b/>
          <w:color w:val="1F497D"/>
          <w:sz w:val="20"/>
          <w:szCs w:val="20"/>
        </w:rPr>
      </w:pPr>
    </w:p>
    <w:p w:rsidR="00CF2AC7" w:rsidRPr="00025B12" w:rsidRDefault="00CF2AC7" w:rsidP="007C3AB9">
      <w:pPr>
        <w:tabs>
          <w:tab w:val="left" w:pos="2268"/>
          <w:tab w:val="left" w:pos="6615"/>
        </w:tabs>
        <w:spacing w:before="40" w:after="60" w:line="360" w:lineRule="auto"/>
        <w:ind w:left="360"/>
        <w:jc w:val="center"/>
        <w:rPr>
          <w:rFonts w:ascii="Verdana" w:hAnsi="Verdana"/>
          <w:b/>
          <w:color w:val="1F497D"/>
          <w:sz w:val="20"/>
          <w:szCs w:val="20"/>
        </w:rPr>
      </w:pPr>
    </w:p>
    <w:p w:rsidR="00CF2AC7" w:rsidRPr="00025B12" w:rsidRDefault="00CF2AC7" w:rsidP="007C3AB9">
      <w:pPr>
        <w:tabs>
          <w:tab w:val="left" w:pos="2268"/>
          <w:tab w:val="left" w:pos="6615"/>
        </w:tabs>
        <w:spacing w:before="40" w:after="60" w:line="360" w:lineRule="auto"/>
        <w:ind w:left="360"/>
        <w:jc w:val="center"/>
        <w:rPr>
          <w:rFonts w:ascii="Verdana" w:hAnsi="Verdana"/>
          <w:b/>
          <w:color w:val="1F497D"/>
          <w:sz w:val="20"/>
          <w:szCs w:val="20"/>
        </w:rPr>
      </w:pPr>
    </w:p>
    <w:p w:rsidR="007C3AB9" w:rsidRPr="00025B12" w:rsidRDefault="007C3AB9" w:rsidP="007C3AB9">
      <w:pPr>
        <w:tabs>
          <w:tab w:val="left" w:pos="2268"/>
          <w:tab w:val="left" w:pos="6615"/>
        </w:tabs>
        <w:spacing w:before="40" w:after="60" w:line="360" w:lineRule="auto"/>
        <w:ind w:left="360"/>
        <w:jc w:val="center"/>
        <w:rPr>
          <w:rFonts w:ascii="Verdana" w:eastAsia="Times New Roman" w:hAnsi="Verdana"/>
          <w:b/>
          <w:color w:val="1F497D"/>
          <w:lang w:eastAsia="cs-CZ"/>
        </w:rPr>
      </w:pPr>
    </w:p>
    <w:p w:rsidR="00C15240" w:rsidRPr="00025B12" w:rsidRDefault="00C15240" w:rsidP="007C3AB9">
      <w:pPr>
        <w:tabs>
          <w:tab w:val="left" w:pos="2268"/>
          <w:tab w:val="left" w:pos="6615"/>
        </w:tabs>
        <w:spacing w:before="40" w:after="60" w:line="360" w:lineRule="auto"/>
        <w:ind w:left="360"/>
        <w:jc w:val="center"/>
        <w:rPr>
          <w:rFonts w:ascii="Verdana" w:eastAsia="Times New Roman" w:hAnsi="Verdana"/>
          <w:b/>
          <w:color w:val="1F497D"/>
          <w:lang w:eastAsia="cs-CZ"/>
        </w:rPr>
      </w:pPr>
    </w:p>
    <w:p w:rsidR="00C15240" w:rsidRPr="00025B12" w:rsidRDefault="00C15240" w:rsidP="007C3AB9">
      <w:pPr>
        <w:tabs>
          <w:tab w:val="left" w:pos="2268"/>
          <w:tab w:val="left" w:pos="6615"/>
        </w:tabs>
        <w:spacing w:before="40" w:after="60" w:line="360" w:lineRule="auto"/>
        <w:ind w:left="360"/>
        <w:jc w:val="center"/>
        <w:rPr>
          <w:rFonts w:ascii="Verdana" w:eastAsia="Times New Roman" w:hAnsi="Verdana"/>
          <w:b/>
          <w:color w:val="1F497D"/>
          <w:lang w:eastAsia="cs-CZ"/>
        </w:rPr>
      </w:pPr>
    </w:p>
    <w:p w:rsidR="00CF2AC7" w:rsidRPr="00025B12" w:rsidRDefault="00CF2AC7" w:rsidP="00CF2AC7">
      <w:pPr>
        <w:tabs>
          <w:tab w:val="left" w:pos="2268"/>
          <w:tab w:val="left" w:pos="6615"/>
        </w:tabs>
        <w:spacing w:before="40" w:after="60" w:line="360" w:lineRule="auto"/>
        <w:ind w:left="2268" w:hanging="2268"/>
        <w:jc w:val="center"/>
        <w:rPr>
          <w:rFonts w:ascii="Verdana" w:eastAsia="Times New Roman" w:hAnsi="Verdana"/>
          <w:b/>
          <w:color w:val="1F497D"/>
          <w:sz w:val="28"/>
          <w:szCs w:val="28"/>
          <w:lang w:eastAsia="cs-CZ"/>
        </w:rPr>
      </w:pPr>
      <w:r w:rsidRPr="00025B12">
        <w:rPr>
          <w:rFonts w:ascii="Verdana" w:eastAsia="Times New Roman" w:hAnsi="Verdana"/>
          <w:b/>
          <w:color w:val="1F497D"/>
          <w:sz w:val="28"/>
          <w:szCs w:val="28"/>
          <w:lang w:val="en-US" w:eastAsia="cs-CZ"/>
        </w:rPr>
        <w:t>S</w:t>
      </w:r>
      <w:r w:rsidRPr="00025B12">
        <w:rPr>
          <w:rFonts w:ascii="Verdana" w:eastAsia="Times New Roman" w:hAnsi="Verdana"/>
          <w:b/>
          <w:color w:val="1F497D"/>
          <w:sz w:val="28"/>
          <w:szCs w:val="28"/>
          <w:lang w:eastAsia="cs-CZ"/>
        </w:rPr>
        <w:t>10 - FINÁLNÍ VERZE</w:t>
      </w:r>
    </w:p>
    <w:p w:rsidR="00C026BC" w:rsidRPr="00025B12" w:rsidRDefault="00CF2AC7" w:rsidP="007C3AB9">
      <w:pPr>
        <w:pStyle w:val="Label"/>
        <w:tabs>
          <w:tab w:val="left" w:pos="6615"/>
        </w:tabs>
        <w:jc w:val="center"/>
        <w:rPr>
          <w:color w:val="1F497D"/>
          <w:sz w:val="28"/>
          <w:szCs w:val="28"/>
        </w:rPr>
      </w:pPr>
      <w:r w:rsidRPr="00025B12">
        <w:rPr>
          <w:color w:val="1F497D"/>
          <w:sz w:val="28"/>
          <w:szCs w:val="28"/>
        </w:rPr>
        <w:t>30</w:t>
      </w:r>
      <w:r w:rsidR="007C3AB9" w:rsidRPr="00025B12">
        <w:rPr>
          <w:color w:val="1F497D"/>
          <w:sz w:val="28"/>
          <w:szCs w:val="28"/>
        </w:rPr>
        <w:t xml:space="preserve">. </w:t>
      </w:r>
      <w:r w:rsidR="00213212" w:rsidRPr="00025B12">
        <w:rPr>
          <w:color w:val="1F497D"/>
          <w:sz w:val="28"/>
          <w:szCs w:val="28"/>
        </w:rPr>
        <w:t>9</w:t>
      </w:r>
      <w:r w:rsidR="00325FAA" w:rsidRPr="00025B12">
        <w:rPr>
          <w:color w:val="1F497D"/>
          <w:sz w:val="28"/>
          <w:szCs w:val="28"/>
        </w:rPr>
        <w:t>. 2011</w:t>
      </w:r>
    </w:p>
    <w:p w:rsidR="00C026BC" w:rsidRPr="00025B12" w:rsidRDefault="00C026BC" w:rsidP="003D3E9E">
      <w:pPr>
        <w:pStyle w:val="Label"/>
        <w:tabs>
          <w:tab w:val="left" w:pos="6615"/>
        </w:tabs>
        <w:jc w:val="center"/>
        <w:rPr>
          <w:b w:val="0"/>
          <w:sz w:val="20"/>
          <w:szCs w:val="20"/>
        </w:rPr>
        <w:sectPr w:rsidR="00C026BC" w:rsidRPr="00025B12" w:rsidSect="000960D7">
          <w:headerReference w:type="default" r:id="rId8"/>
          <w:footerReference w:type="default" r:id="rId9"/>
          <w:pgSz w:w="11906" w:h="16838"/>
          <w:pgMar w:top="1417" w:right="1417" w:bottom="1417" w:left="1417" w:header="708" w:footer="708" w:gutter="0"/>
          <w:cols w:space="708"/>
          <w:docGrid w:linePitch="360"/>
        </w:sectPr>
      </w:pP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560"/>
      </w:tblGrid>
      <w:tr w:rsidR="00F43387" w:rsidRPr="00025B12" w:rsidTr="00F43387">
        <w:tc>
          <w:tcPr>
            <w:tcW w:w="3652" w:type="dxa"/>
            <w:vAlign w:val="center"/>
          </w:tcPr>
          <w:p w:rsidR="00F43387" w:rsidRPr="00025B12" w:rsidRDefault="00F43387" w:rsidP="00F43387">
            <w:pPr>
              <w:spacing w:after="0"/>
              <w:rPr>
                <w:rFonts w:ascii="Verdana" w:eastAsia="Times New Roman" w:hAnsi="Verdana"/>
                <w:b/>
                <w:sz w:val="20"/>
                <w:szCs w:val="20"/>
                <w:lang w:eastAsia="cs-CZ"/>
              </w:rPr>
            </w:pPr>
            <w:r w:rsidRPr="00025B12">
              <w:rPr>
                <w:rFonts w:ascii="Verdana" w:eastAsia="Times New Roman" w:hAnsi="Verdana"/>
                <w:b/>
                <w:sz w:val="20"/>
                <w:szCs w:val="20"/>
                <w:lang w:eastAsia="cs-CZ"/>
              </w:rPr>
              <w:lastRenderedPageBreak/>
              <w:t>Projekt</w:t>
            </w:r>
          </w:p>
        </w:tc>
        <w:tc>
          <w:tcPr>
            <w:tcW w:w="5560" w:type="dxa"/>
          </w:tcPr>
          <w:p w:rsidR="00F43387" w:rsidRPr="00025B12" w:rsidRDefault="00F43387" w:rsidP="00F43387">
            <w:pPr>
              <w:spacing w:after="0"/>
              <w:jc w:val="both"/>
              <w:rPr>
                <w:rFonts w:ascii="Verdana" w:eastAsia="Times New Roman" w:hAnsi="Verdana"/>
                <w:sz w:val="20"/>
                <w:szCs w:val="20"/>
                <w:lang w:eastAsia="cs-CZ"/>
              </w:rPr>
            </w:pPr>
            <w:r w:rsidRPr="00025B12">
              <w:rPr>
                <w:rFonts w:ascii="Verdana" w:eastAsia="Times New Roman" w:hAnsi="Verdana"/>
                <w:sz w:val="20"/>
                <w:szCs w:val="20"/>
                <w:lang w:eastAsia="cs-CZ"/>
              </w:rPr>
              <w:t>Koncept</w:t>
            </w:r>
          </w:p>
        </w:tc>
      </w:tr>
      <w:tr w:rsidR="00F43387" w:rsidRPr="00025B12" w:rsidTr="00F43387">
        <w:tc>
          <w:tcPr>
            <w:tcW w:w="3652" w:type="dxa"/>
          </w:tcPr>
          <w:p w:rsidR="00F43387" w:rsidRPr="00025B12" w:rsidRDefault="00F43387" w:rsidP="00F43387">
            <w:pPr>
              <w:spacing w:after="0"/>
              <w:rPr>
                <w:rFonts w:ascii="Verdana" w:eastAsia="Times New Roman" w:hAnsi="Verdana"/>
                <w:b/>
                <w:sz w:val="20"/>
                <w:szCs w:val="20"/>
                <w:lang w:eastAsia="cs-CZ"/>
              </w:rPr>
            </w:pPr>
            <w:r w:rsidRPr="00025B12">
              <w:rPr>
                <w:rFonts w:ascii="Verdana" w:eastAsia="Times New Roman" w:hAnsi="Verdana"/>
                <w:b/>
                <w:sz w:val="20"/>
                <w:szCs w:val="20"/>
                <w:lang w:eastAsia="cs-CZ"/>
              </w:rPr>
              <w:t>Zakázka</w:t>
            </w:r>
          </w:p>
        </w:tc>
        <w:tc>
          <w:tcPr>
            <w:tcW w:w="5560" w:type="dxa"/>
          </w:tcPr>
          <w:p w:rsidR="00F43387" w:rsidRPr="00025B12" w:rsidRDefault="00F43387" w:rsidP="00F43387">
            <w:pPr>
              <w:spacing w:after="0"/>
              <w:rPr>
                <w:rFonts w:ascii="Verdana" w:eastAsia="Times New Roman" w:hAnsi="Verdana"/>
                <w:sz w:val="20"/>
                <w:szCs w:val="20"/>
                <w:lang w:eastAsia="cs-CZ"/>
              </w:rPr>
            </w:pPr>
            <w:r w:rsidRPr="00025B12">
              <w:rPr>
                <w:rFonts w:ascii="Verdana" w:eastAsia="Times New Roman" w:hAnsi="Verdana"/>
                <w:sz w:val="20"/>
                <w:szCs w:val="20"/>
                <w:lang w:eastAsia="cs-CZ"/>
              </w:rPr>
              <w:t>Zajištění koncepčního řešení v oblasti sladění vzdělávací nabídky s potřebami trhu práce, monitoringu dalšího vzdělávání včetně pilotního ověřování a realizace vybraných aktivit v těchto oblastech</w:t>
            </w:r>
          </w:p>
        </w:tc>
      </w:tr>
      <w:tr w:rsidR="00F43387" w:rsidRPr="00025B12" w:rsidTr="00F43387">
        <w:tc>
          <w:tcPr>
            <w:tcW w:w="3652" w:type="dxa"/>
          </w:tcPr>
          <w:p w:rsidR="00F43387" w:rsidRPr="00025B12" w:rsidRDefault="00F43387" w:rsidP="00F43387">
            <w:pPr>
              <w:spacing w:after="0"/>
              <w:jc w:val="both"/>
              <w:rPr>
                <w:rFonts w:ascii="Verdana" w:eastAsia="Times New Roman" w:hAnsi="Verdana"/>
                <w:b/>
                <w:sz w:val="20"/>
                <w:szCs w:val="20"/>
                <w:lang w:eastAsia="cs-CZ"/>
              </w:rPr>
            </w:pPr>
            <w:r w:rsidRPr="00025B12">
              <w:rPr>
                <w:rFonts w:ascii="Verdana" w:eastAsia="Times New Roman" w:hAnsi="Verdana"/>
                <w:b/>
                <w:sz w:val="20"/>
                <w:szCs w:val="20"/>
                <w:lang w:eastAsia="cs-CZ"/>
              </w:rPr>
              <w:t>Zadavatel</w:t>
            </w:r>
          </w:p>
        </w:tc>
        <w:tc>
          <w:tcPr>
            <w:tcW w:w="5560" w:type="dxa"/>
          </w:tcPr>
          <w:p w:rsidR="00F43387" w:rsidRPr="00025B12" w:rsidRDefault="00E57826" w:rsidP="00F43387">
            <w:pPr>
              <w:spacing w:after="0"/>
              <w:jc w:val="both"/>
              <w:rPr>
                <w:rFonts w:ascii="Verdana" w:eastAsia="Times New Roman" w:hAnsi="Verdana"/>
                <w:sz w:val="20"/>
                <w:szCs w:val="20"/>
                <w:lang w:eastAsia="cs-CZ"/>
              </w:rPr>
            </w:pPr>
            <w:r w:rsidRPr="00025B12">
              <w:rPr>
                <w:rFonts w:ascii="Verdana" w:eastAsia="Times New Roman" w:hAnsi="Verdana"/>
                <w:sz w:val="20"/>
                <w:szCs w:val="20"/>
                <w:lang w:eastAsia="cs-CZ"/>
              </w:rPr>
              <w:t>NÚV</w:t>
            </w:r>
          </w:p>
        </w:tc>
      </w:tr>
      <w:tr w:rsidR="00F43387" w:rsidRPr="00025B12" w:rsidTr="00F43387">
        <w:tc>
          <w:tcPr>
            <w:tcW w:w="3652" w:type="dxa"/>
          </w:tcPr>
          <w:p w:rsidR="00F43387" w:rsidRPr="00025B12" w:rsidRDefault="00F43387" w:rsidP="00F43387">
            <w:pPr>
              <w:spacing w:after="0"/>
              <w:jc w:val="both"/>
              <w:rPr>
                <w:rFonts w:ascii="Verdana" w:eastAsia="Times New Roman" w:hAnsi="Verdana"/>
                <w:b/>
                <w:sz w:val="20"/>
                <w:szCs w:val="20"/>
                <w:lang w:eastAsia="cs-CZ"/>
              </w:rPr>
            </w:pPr>
            <w:r w:rsidRPr="00025B12">
              <w:rPr>
                <w:rFonts w:ascii="Verdana" w:eastAsia="Times New Roman" w:hAnsi="Verdana"/>
                <w:b/>
                <w:sz w:val="20"/>
                <w:szCs w:val="20"/>
                <w:lang w:eastAsia="cs-CZ"/>
              </w:rPr>
              <w:t>Aktivita</w:t>
            </w:r>
          </w:p>
        </w:tc>
        <w:tc>
          <w:tcPr>
            <w:tcW w:w="5560" w:type="dxa"/>
          </w:tcPr>
          <w:p w:rsidR="00F43387" w:rsidRPr="00025B12" w:rsidRDefault="00F43387" w:rsidP="00F43387">
            <w:pPr>
              <w:spacing w:after="0"/>
              <w:rPr>
                <w:rFonts w:ascii="Verdana" w:eastAsia="Times New Roman" w:hAnsi="Verdana"/>
                <w:sz w:val="20"/>
                <w:szCs w:val="20"/>
                <w:lang w:eastAsia="cs-CZ"/>
              </w:rPr>
            </w:pPr>
            <w:r w:rsidRPr="00025B12">
              <w:rPr>
                <w:rFonts w:ascii="Verdana" w:eastAsia="Times New Roman" w:hAnsi="Verdana"/>
                <w:sz w:val="20"/>
                <w:szCs w:val="20"/>
                <w:lang w:eastAsia="cs-CZ"/>
              </w:rPr>
              <w:t>3 B Návrh komplexního systému ukazatelů dalšího vzdělávání</w:t>
            </w:r>
          </w:p>
        </w:tc>
      </w:tr>
      <w:tr w:rsidR="00F43387" w:rsidRPr="00025B12" w:rsidTr="00F43387">
        <w:tc>
          <w:tcPr>
            <w:tcW w:w="3652" w:type="dxa"/>
          </w:tcPr>
          <w:p w:rsidR="00F43387" w:rsidRPr="00025B12" w:rsidRDefault="00F43387" w:rsidP="00F43387">
            <w:pPr>
              <w:spacing w:after="0"/>
              <w:jc w:val="both"/>
              <w:rPr>
                <w:rFonts w:ascii="Verdana" w:eastAsia="Times New Roman" w:hAnsi="Verdana"/>
                <w:b/>
                <w:sz w:val="20"/>
                <w:szCs w:val="20"/>
                <w:lang w:eastAsia="cs-CZ"/>
              </w:rPr>
            </w:pPr>
            <w:r w:rsidRPr="00025B12">
              <w:rPr>
                <w:rFonts w:ascii="Verdana" w:eastAsia="Times New Roman" w:hAnsi="Verdana"/>
                <w:b/>
                <w:sz w:val="20"/>
                <w:szCs w:val="20"/>
                <w:lang w:eastAsia="cs-CZ"/>
              </w:rPr>
              <w:t>Etapa plnění</w:t>
            </w:r>
          </w:p>
        </w:tc>
        <w:tc>
          <w:tcPr>
            <w:tcW w:w="5560" w:type="dxa"/>
          </w:tcPr>
          <w:p w:rsidR="00F43387" w:rsidRPr="00025B12" w:rsidRDefault="00CF2AC7" w:rsidP="00F43387">
            <w:pPr>
              <w:spacing w:after="0"/>
              <w:jc w:val="both"/>
              <w:rPr>
                <w:rFonts w:ascii="Verdana" w:eastAsia="Times New Roman" w:hAnsi="Verdana"/>
                <w:sz w:val="20"/>
                <w:szCs w:val="20"/>
                <w:lang w:eastAsia="cs-CZ"/>
              </w:rPr>
            </w:pPr>
            <w:r w:rsidRPr="00025B12">
              <w:rPr>
                <w:rFonts w:ascii="Verdana" w:eastAsia="Times New Roman" w:hAnsi="Verdana"/>
                <w:sz w:val="20"/>
                <w:szCs w:val="20"/>
                <w:lang w:eastAsia="cs-CZ"/>
              </w:rPr>
              <w:t>Finální</w:t>
            </w:r>
            <w:r w:rsidR="00C43089" w:rsidRPr="00025B12">
              <w:rPr>
                <w:rFonts w:ascii="Verdana" w:eastAsia="Times New Roman" w:hAnsi="Verdana"/>
                <w:sz w:val="20"/>
                <w:szCs w:val="20"/>
                <w:lang w:eastAsia="cs-CZ"/>
              </w:rPr>
              <w:t xml:space="preserve"> verze</w:t>
            </w:r>
          </w:p>
        </w:tc>
      </w:tr>
      <w:tr w:rsidR="00F43387" w:rsidRPr="00025B12" w:rsidTr="00F43387">
        <w:tc>
          <w:tcPr>
            <w:tcW w:w="3652" w:type="dxa"/>
          </w:tcPr>
          <w:p w:rsidR="00F43387" w:rsidRPr="00025B12" w:rsidRDefault="00F43387" w:rsidP="00F43387">
            <w:pPr>
              <w:spacing w:after="0"/>
              <w:jc w:val="both"/>
              <w:rPr>
                <w:rFonts w:ascii="Verdana" w:eastAsia="Times New Roman" w:hAnsi="Verdana"/>
                <w:b/>
                <w:sz w:val="20"/>
                <w:szCs w:val="20"/>
                <w:lang w:eastAsia="cs-CZ"/>
              </w:rPr>
            </w:pPr>
            <w:r w:rsidRPr="00025B12">
              <w:rPr>
                <w:rFonts w:ascii="Verdana" w:eastAsia="Times New Roman" w:hAnsi="Verdana"/>
                <w:b/>
                <w:sz w:val="20"/>
                <w:szCs w:val="20"/>
                <w:lang w:eastAsia="cs-CZ"/>
              </w:rPr>
              <w:t>Termín dokončení studie</w:t>
            </w:r>
          </w:p>
          <w:p w:rsidR="00F43387" w:rsidRPr="00025B12" w:rsidRDefault="00F43387" w:rsidP="00F43387">
            <w:pPr>
              <w:spacing w:after="0"/>
              <w:jc w:val="both"/>
              <w:rPr>
                <w:rFonts w:ascii="Verdana" w:eastAsia="Times New Roman" w:hAnsi="Verdana"/>
                <w:b/>
                <w:sz w:val="20"/>
                <w:szCs w:val="20"/>
                <w:lang w:eastAsia="cs-CZ"/>
              </w:rPr>
            </w:pPr>
            <w:r w:rsidRPr="00025B12">
              <w:rPr>
                <w:rFonts w:ascii="Verdana" w:eastAsia="Times New Roman" w:hAnsi="Verdana"/>
                <w:b/>
                <w:sz w:val="20"/>
                <w:szCs w:val="20"/>
                <w:lang w:eastAsia="cs-CZ"/>
              </w:rPr>
              <w:t>(dle harmonogramu výstupů)</w:t>
            </w:r>
          </w:p>
        </w:tc>
        <w:tc>
          <w:tcPr>
            <w:tcW w:w="5560" w:type="dxa"/>
            <w:vAlign w:val="center"/>
          </w:tcPr>
          <w:p w:rsidR="00F43387" w:rsidRPr="00025B12" w:rsidRDefault="00D61867" w:rsidP="00F43387">
            <w:pPr>
              <w:spacing w:after="0"/>
              <w:rPr>
                <w:rFonts w:ascii="Verdana" w:eastAsia="Times New Roman" w:hAnsi="Verdana"/>
                <w:sz w:val="20"/>
                <w:szCs w:val="20"/>
                <w:lang w:eastAsia="cs-CZ"/>
              </w:rPr>
            </w:pPr>
            <w:r w:rsidRPr="00025B12">
              <w:rPr>
                <w:rFonts w:ascii="Verdana" w:eastAsia="Times New Roman" w:hAnsi="Verdana"/>
                <w:sz w:val="20"/>
                <w:szCs w:val="20"/>
                <w:lang w:eastAsia="cs-CZ"/>
              </w:rPr>
              <w:t xml:space="preserve">30. </w:t>
            </w:r>
            <w:r w:rsidR="00CF2AC7" w:rsidRPr="00025B12">
              <w:rPr>
                <w:rFonts w:ascii="Verdana" w:eastAsia="Times New Roman" w:hAnsi="Verdana"/>
                <w:sz w:val="20"/>
                <w:szCs w:val="20"/>
                <w:lang w:eastAsia="cs-CZ"/>
              </w:rPr>
              <w:t>z</w:t>
            </w:r>
            <w:r w:rsidR="00F43387" w:rsidRPr="00025B12">
              <w:rPr>
                <w:rFonts w:ascii="Verdana" w:eastAsia="Times New Roman" w:hAnsi="Verdana"/>
                <w:sz w:val="20"/>
                <w:szCs w:val="20"/>
                <w:lang w:eastAsia="cs-CZ"/>
              </w:rPr>
              <w:t>áří 2011</w:t>
            </w:r>
          </w:p>
        </w:tc>
      </w:tr>
    </w:tbl>
    <w:p w:rsidR="001E6F1A" w:rsidRPr="00025B12" w:rsidRDefault="001E6F1A" w:rsidP="00C026BC">
      <w:pPr>
        <w:jc w:val="both"/>
        <w:rPr>
          <w:sz w:val="30"/>
          <w:szCs w:val="30"/>
        </w:rPr>
      </w:pPr>
    </w:p>
    <w:p w:rsidR="00F43387" w:rsidRPr="00025B12" w:rsidRDefault="00F43387" w:rsidP="001E6F1A">
      <w:pPr>
        <w:jc w:val="both"/>
        <w:rPr>
          <w:rFonts w:ascii="Verdana" w:hAnsi="Verdana"/>
          <w:b/>
        </w:rPr>
      </w:pPr>
    </w:p>
    <w:p w:rsidR="00F43387" w:rsidRPr="00025B12" w:rsidRDefault="00F43387" w:rsidP="001E6F1A">
      <w:pPr>
        <w:jc w:val="both"/>
        <w:rPr>
          <w:rFonts w:ascii="Verdana" w:hAnsi="Verdana"/>
          <w:b/>
        </w:rPr>
      </w:pPr>
    </w:p>
    <w:p w:rsidR="00F43387" w:rsidRPr="00025B12" w:rsidRDefault="00F43387" w:rsidP="001E6F1A">
      <w:pPr>
        <w:jc w:val="both"/>
        <w:rPr>
          <w:rFonts w:ascii="Verdana" w:hAnsi="Verdana"/>
          <w:b/>
        </w:rPr>
      </w:pPr>
    </w:p>
    <w:p w:rsidR="00F43387" w:rsidRPr="00025B12" w:rsidRDefault="00F43387" w:rsidP="001E6F1A">
      <w:pPr>
        <w:jc w:val="both"/>
        <w:rPr>
          <w:rFonts w:ascii="Verdana" w:hAnsi="Verdana"/>
          <w:b/>
        </w:rPr>
      </w:pPr>
    </w:p>
    <w:p w:rsidR="001E6F1A" w:rsidRPr="00025B12" w:rsidRDefault="000C52A6" w:rsidP="000C6631">
      <w:pPr>
        <w:pStyle w:val="Nadpiskonc1"/>
        <w:numPr>
          <w:ilvl w:val="0"/>
          <w:numId w:val="0"/>
        </w:numPr>
        <w:pBdr>
          <w:top w:val="single" w:sz="4" w:space="1" w:color="000000"/>
          <w:left w:val="single" w:sz="4" w:space="4" w:color="000000"/>
          <w:bottom w:val="single" w:sz="4" w:space="0" w:color="000000"/>
          <w:right w:val="single" w:sz="4" w:space="4" w:color="000000"/>
        </w:pBdr>
        <w:outlineLvl w:val="0"/>
        <w:rPr>
          <w:rFonts w:ascii="Verdana" w:hAnsi="Verdana"/>
          <w:sz w:val="32"/>
          <w:szCs w:val="32"/>
        </w:rPr>
      </w:pPr>
      <w:r w:rsidRPr="00025B12">
        <w:rPr>
          <w:rFonts w:ascii="Verdana" w:hAnsi="Verdana"/>
          <w:b w:val="0"/>
        </w:rPr>
        <w:br w:type="page"/>
      </w:r>
      <w:bookmarkStart w:id="0" w:name="_Toc289351166"/>
      <w:bookmarkStart w:id="1" w:name="_Toc289351248"/>
      <w:bookmarkStart w:id="2" w:name="_Toc289351264"/>
      <w:bookmarkStart w:id="3" w:name="_Toc289634052"/>
      <w:bookmarkStart w:id="4" w:name="_Toc304898603"/>
      <w:r w:rsidR="001E6F1A" w:rsidRPr="00025B12">
        <w:rPr>
          <w:rFonts w:ascii="Verdana" w:hAnsi="Verdana"/>
          <w:sz w:val="32"/>
          <w:szCs w:val="32"/>
        </w:rPr>
        <w:lastRenderedPageBreak/>
        <w:t>O</w:t>
      </w:r>
      <w:bookmarkEnd w:id="0"/>
      <w:r w:rsidR="0005115F" w:rsidRPr="00025B12">
        <w:rPr>
          <w:rFonts w:ascii="Verdana" w:hAnsi="Verdana"/>
          <w:sz w:val="32"/>
          <w:szCs w:val="32"/>
        </w:rPr>
        <w:t>bsah</w:t>
      </w:r>
      <w:bookmarkEnd w:id="1"/>
      <w:bookmarkEnd w:id="2"/>
      <w:bookmarkEnd w:id="3"/>
      <w:bookmarkEnd w:id="4"/>
    </w:p>
    <w:p w:rsidR="00C83E4D" w:rsidRPr="00025B12" w:rsidRDefault="00665F1D" w:rsidP="00C83E4D">
      <w:pPr>
        <w:pStyle w:val="Obsah1"/>
        <w:spacing w:before="120" w:after="0"/>
        <w:rPr>
          <w:rFonts w:eastAsiaTheme="minorEastAsia" w:cstheme="minorBidi"/>
          <w:b w:val="0"/>
          <w:sz w:val="20"/>
          <w:szCs w:val="20"/>
          <w:lang w:eastAsia="cs-CZ"/>
        </w:rPr>
      </w:pPr>
      <w:r w:rsidRPr="00665F1D">
        <w:rPr>
          <w:sz w:val="20"/>
          <w:szCs w:val="20"/>
        </w:rPr>
        <w:fldChar w:fldCharType="begin"/>
      </w:r>
      <w:r w:rsidR="00ED2A74" w:rsidRPr="00025B12">
        <w:rPr>
          <w:sz w:val="20"/>
          <w:szCs w:val="20"/>
        </w:rPr>
        <w:instrText xml:space="preserve"> TOC \h \z \t "Nadpis_konc1;1;Nadpis_konc2;2;nad_konc3;3" </w:instrText>
      </w:r>
      <w:r w:rsidRPr="00665F1D">
        <w:rPr>
          <w:sz w:val="20"/>
          <w:szCs w:val="20"/>
        </w:rPr>
        <w:fldChar w:fldCharType="separate"/>
      </w:r>
      <w:hyperlink w:anchor="_Toc304898603" w:history="1">
        <w:r w:rsidR="00C83E4D" w:rsidRPr="00025B12">
          <w:rPr>
            <w:rStyle w:val="Hypertextovodkaz"/>
            <w:sz w:val="20"/>
            <w:szCs w:val="20"/>
          </w:rPr>
          <w:t>Obsah</w:t>
        </w:r>
        <w:r w:rsidR="00C83E4D" w:rsidRPr="00025B12">
          <w:rPr>
            <w:webHidden/>
            <w:sz w:val="20"/>
            <w:szCs w:val="20"/>
          </w:rPr>
          <w:tab/>
        </w:r>
        <w:r w:rsidRPr="00025B12">
          <w:rPr>
            <w:webHidden/>
            <w:sz w:val="20"/>
            <w:szCs w:val="20"/>
          </w:rPr>
          <w:fldChar w:fldCharType="begin"/>
        </w:r>
        <w:r w:rsidR="00C83E4D" w:rsidRPr="00025B12">
          <w:rPr>
            <w:webHidden/>
            <w:sz w:val="20"/>
            <w:szCs w:val="20"/>
          </w:rPr>
          <w:instrText xml:space="preserve"> PAGEREF _Toc304898603 \h </w:instrText>
        </w:r>
        <w:r w:rsidRPr="00025B12">
          <w:rPr>
            <w:webHidden/>
            <w:sz w:val="20"/>
            <w:szCs w:val="20"/>
          </w:rPr>
        </w:r>
        <w:r w:rsidRPr="00025B12">
          <w:rPr>
            <w:webHidden/>
            <w:sz w:val="20"/>
            <w:szCs w:val="20"/>
          </w:rPr>
          <w:fldChar w:fldCharType="separate"/>
        </w:r>
        <w:r w:rsidR="00870F1D">
          <w:rPr>
            <w:webHidden/>
            <w:sz w:val="20"/>
            <w:szCs w:val="20"/>
          </w:rPr>
          <w:t>3</w:t>
        </w:r>
        <w:r w:rsidRPr="00025B12">
          <w:rPr>
            <w:webHidden/>
            <w:sz w:val="20"/>
            <w:szCs w:val="20"/>
          </w:rPr>
          <w:fldChar w:fldCharType="end"/>
        </w:r>
      </w:hyperlink>
    </w:p>
    <w:p w:rsidR="00C83E4D" w:rsidRPr="00025B12" w:rsidRDefault="00665F1D" w:rsidP="00C83E4D">
      <w:pPr>
        <w:pStyle w:val="Obsah1"/>
        <w:tabs>
          <w:tab w:val="left" w:pos="660"/>
        </w:tabs>
        <w:spacing w:before="120" w:after="0"/>
        <w:rPr>
          <w:rFonts w:eastAsiaTheme="minorEastAsia" w:cstheme="minorBidi"/>
          <w:b w:val="0"/>
          <w:sz w:val="20"/>
          <w:szCs w:val="20"/>
          <w:lang w:eastAsia="cs-CZ"/>
        </w:rPr>
      </w:pPr>
      <w:hyperlink w:anchor="_Toc304898604" w:history="1">
        <w:r w:rsidR="00C83E4D" w:rsidRPr="00025B12">
          <w:rPr>
            <w:rStyle w:val="Hypertextovodkaz"/>
            <w:sz w:val="20"/>
            <w:szCs w:val="20"/>
          </w:rPr>
          <w:t>1.</w:t>
        </w:r>
        <w:r w:rsidR="00C83E4D" w:rsidRPr="00025B12">
          <w:rPr>
            <w:rFonts w:eastAsiaTheme="minorEastAsia" w:cstheme="minorBidi"/>
            <w:b w:val="0"/>
            <w:sz w:val="20"/>
            <w:szCs w:val="20"/>
            <w:lang w:eastAsia="cs-CZ"/>
          </w:rPr>
          <w:tab/>
        </w:r>
        <w:r w:rsidR="00C83E4D" w:rsidRPr="00025B12">
          <w:rPr>
            <w:rStyle w:val="Hypertextovodkaz"/>
            <w:sz w:val="20"/>
            <w:szCs w:val="20"/>
          </w:rPr>
          <w:t>Úvod</w:t>
        </w:r>
        <w:r w:rsidR="00C83E4D" w:rsidRPr="00025B12">
          <w:rPr>
            <w:webHidden/>
            <w:sz w:val="20"/>
            <w:szCs w:val="20"/>
          </w:rPr>
          <w:tab/>
        </w:r>
        <w:r w:rsidRPr="00025B12">
          <w:rPr>
            <w:webHidden/>
            <w:sz w:val="20"/>
            <w:szCs w:val="20"/>
          </w:rPr>
          <w:fldChar w:fldCharType="begin"/>
        </w:r>
        <w:r w:rsidR="00C83E4D" w:rsidRPr="00025B12">
          <w:rPr>
            <w:webHidden/>
            <w:sz w:val="20"/>
            <w:szCs w:val="20"/>
          </w:rPr>
          <w:instrText xml:space="preserve"> PAGEREF _Toc304898604 \h </w:instrText>
        </w:r>
        <w:r w:rsidRPr="00025B12">
          <w:rPr>
            <w:webHidden/>
            <w:sz w:val="20"/>
            <w:szCs w:val="20"/>
          </w:rPr>
        </w:r>
        <w:r w:rsidRPr="00025B12">
          <w:rPr>
            <w:webHidden/>
            <w:sz w:val="20"/>
            <w:szCs w:val="20"/>
          </w:rPr>
          <w:fldChar w:fldCharType="separate"/>
        </w:r>
        <w:r w:rsidR="00870F1D">
          <w:rPr>
            <w:webHidden/>
            <w:sz w:val="20"/>
            <w:szCs w:val="20"/>
          </w:rPr>
          <w:t>4</w:t>
        </w:r>
        <w:r w:rsidRPr="00025B12">
          <w:rPr>
            <w:webHidden/>
            <w:sz w:val="20"/>
            <w:szCs w:val="20"/>
          </w:rPr>
          <w:fldChar w:fldCharType="end"/>
        </w:r>
      </w:hyperlink>
    </w:p>
    <w:p w:rsidR="00C83E4D" w:rsidRPr="00025B12" w:rsidRDefault="00665F1D" w:rsidP="00C83E4D">
      <w:pPr>
        <w:pStyle w:val="Obsah1"/>
        <w:tabs>
          <w:tab w:val="left" w:pos="660"/>
        </w:tabs>
        <w:spacing w:before="120" w:after="0"/>
        <w:rPr>
          <w:rFonts w:eastAsiaTheme="minorEastAsia" w:cstheme="minorBidi"/>
          <w:b w:val="0"/>
          <w:sz w:val="20"/>
          <w:szCs w:val="20"/>
          <w:lang w:eastAsia="cs-CZ"/>
        </w:rPr>
      </w:pPr>
      <w:hyperlink w:anchor="_Toc304898605" w:history="1">
        <w:r w:rsidR="00C83E4D" w:rsidRPr="00025B12">
          <w:rPr>
            <w:rStyle w:val="Hypertextovodkaz"/>
            <w:sz w:val="20"/>
            <w:szCs w:val="20"/>
          </w:rPr>
          <w:t>2.</w:t>
        </w:r>
        <w:r w:rsidR="00C83E4D" w:rsidRPr="00025B12">
          <w:rPr>
            <w:rFonts w:eastAsiaTheme="minorEastAsia" w:cstheme="minorBidi"/>
            <w:b w:val="0"/>
            <w:sz w:val="20"/>
            <w:szCs w:val="20"/>
            <w:lang w:eastAsia="cs-CZ"/>
          </w:rPr>
          <w:tab/>
        </w:r>
        <w:r w:rsidR="00C83E4D" w:rsidRPr="00025B12">
          <w:rPr>
            <w:rStyle w:val="Hypertextovodkaz"/>
            <w:sz w:val="20"/>
            <w:szCs w:val="20"/>
          </w:rPr>
          <w:t>Technické instrukce pro práci s dokumenty studie S10</w:t>
        </w:r>
        <w:r w:rsidR="00C83E4D" w:rsidRPr="00025B12">
          <w:rPr>
            <w:webHidden/>
            <w:sz w:val="20"/>
            <w:szCs w:val="20"/>
          </w:rPr>
          <w:tab/>
        </w:r>
        <w:r w:rsidRPr="00025B12">
          <w:rPr>
            <w:webHidden/>
            <w:sz w:val="20"/>
            <w:szCs w:val="20"/>
          </w:rPr>
          <w:fldChar w:fldCharType="begin"/>
        </w:r>
        <w:r w:rsidR="00C83E4D" w:rsidRPr="00025B12">
          <w:rPr>
            <w:webHidden/>
            <w:sz w:val="20"/>
            <w:szCs w:val="20"/>
          </w:rPr>
          <w:instrText xml:space="preserve"> PAGEREF _Toc304898605 \h </w:instrText>
        </w:r>
        <w:r w:rsidRPr="00025B12">
          <w:rPr>
            <w:webHidden/>
            <w:sz w:val="20"/>
            <w:szCs w:val="20"/>
          </w:rPr>
        </w:r>
        <w:r w:rsidRPr="00025B12">
          <w:rPr>
            <w:webHidden/>
            <w:sz w:val="20"/>
            <w:szCs w:val="20"/>
          </w:rPr>
          <w:fldChar w:fldCharType="separate"/>
        </w:r>
        <w:r w:rsidR="00870F1D">
          <w:rPr>
            <w:webHidden/>
            <w:sz w:val="20"/>
            <w:szCs w:val="20"/>
          </w:rPr>
          <w:t>5</w:t>
        </w:r>
        <w:r w:rsidRPr="00025B12">
          <w:rPr>
            <w:webHidden/>
            <w:sz w:val="20"/>
            <w:szCs w:val="20"/>
          </w:rPr>
          <w:fldChar w:fldCharType="end"/>
        </w:r>
      </w:hyperlink>
    </w:p>
    <w:p w:rsidR="00C83E4D" w:rsidRPr="00025B12" w:rsidRDefault="00665F1D" w:rsidP="00C83E4D">
      <w:pPr>
        <w:pStyle w:val="Obsah1"/>
        <w:tabs>
          <w:tab w:val="left" w:pos="660"/>
        </w:tabs>
        <w:spacing w:before="120" w:after="0"/>
        <w:rPr>
          <w:rFonts w:eastAsiaTheme="minorEastAsia" w:cstheme="minorBidi"/>
          <w:b w:val="0"/>
          <w:sz w:val="20"/>
          <w:szCs w:val="20"/>
          <w:lang w:eastAsia="cs-CZ"/>
        </w:rPr>
      </w:pPr>
      <w:hyperlink w:anchor="_Toc304898606" w:history="1">
        <w:r w:rsidR="00C83E4D" w:rsidRPr="00025B12">
          <w:rPr>
            <w:rStyle w:val="Hypertextovodkaz"/>
            <w:sz w:val="20"/>
            <w:szCs w:val="20"/>
          </w:rPr>
          <w:t>3.</w:t>
        </w:r>
        <w:r w:rsidR="00C83E4D" w:rsidRPr="00025B12">
          <w:rPr>
            <w:rFonts w:eastAsiaTheme="minorEastAsia" w:cstheme="minorBidi"/>
            <w:b w:val="0"/>
            <w:sz w:val="20"/>
            <w:szCs w:val="20"/>
            <w:lang w:eastAsia="cs-CZ"/>
          </w:rPr>
          <w:tab/>
        </w:r>
        <w:r w:rsidR="00C83E4D" w:rsidRPr="00025B12">
          <w:rPr>
            <w:rStyle w:val="Hypertextovodkaz"/>
            <w:sz w:val="20"/>
            <w:szCs w:val="20"/>
          </w:rPr>
          <w:t>Východiska návrhu</w:t>
        </w:r>
        <w:r w:rsidR="00C83E4D" w:rsidRPr="00025B12">
          <w:rPr>
            <w:webHidden/>
            <w:sz w:val="20"/>
            <w:szCs w:val="20"/>
          </w:rPr>
          <w:tab/>
        </w:r>
        <w:r w:rsidRPr="00025B12">
          <w:rPr>
            <w:webHidden/>
            <w:sz w:val="20"/>
            <w:szCs w:val="20"/>
          </w:rPr>
          <w:fldChar w:fldCharType="begin"/>
        </w:r>
        <w:r w:rsidR="00C83E4D" w:rsidRPr="00025B12">
          <w:rPr>
            <w:webHidden/>
            <w:sz w:val="20"/>
            <w:szCs w:val="20"/>
          </w:rPr>
          <w:instrText xml:space="preserve"> PAGEREF _Toc304898606 \h </w:instrText>
        </w:r>
        <w:r w:rsidRPr="00025B12">
          <w:rPr>
            <w:webHidden/>
            <w:sz w:val="20"/>
            <w:szCs w:val="20"/>
          </w:rPr>
        </w:r>
        <w:r w:rsidRPr="00025B12">
          <w:rPr>
            <w:webHidden/>
            <w:sz w:val="20"/>
            <w:szCs w:val="20"/>
          </w:rPr>
          <w:fldChar w:fldCharType="separate"/>
        </w:r>
        <w:r w:rsidR="00870F1D">
          <w:rPr>
            <w:webHidden/>
            <w:sz w:val="20"/>
            <w:szCs w:val="20"/>
          </w:rPr>
          <w:t>6</w:t>
        </w:r>
        <w:r w:rsidRPr="00025B12">
          <w:rPr>
            <w:webHidden/>
            <w:sz w:val="20"/>
            <w:szCs w:val="20"/>
          </w:rPr>
          <w:fldChar w:fldCharType="end"/>
        </w:r>
      </w:hyperlink>
    </w:p>
    <w:p w:rsidR="00C83E4D" w:rsidRPr="00025B12" w:rsidRDefault="00665F1D" w:rsidP="00C83E4D">
      <w:pPr>
        <w:pStyle w:val="Obsah2"/>
        <w:tabs>
          <w:tab w:val="left" w:pos="1100"/>
          <w:tab w:val="right" w:leader="dot" w:pos="9062"/>
        </w:tabs>
        <w:spacing w:before="120" w:after="0"/>
        <w:rPr>
          <w:rFonts w:ascii="Verdana" w:eastAsiaTheme="minorEastAsia" w:hAnsi="Verdana" w:cstheme="minorBidi"/>
          <w:noProof/>
          <w:sz w:val="20"/>
          <w:szCs w:val="20"/>
          <w:lang w:eastAsia="cs-CZ"/>
        </w:rPr>
      </w:pPr>
      <w:hyperlink w:anchor="_Toc304898607" w:history="1">
        <w:r w:rsidR="00C83E4D" w:rsidRPr="00025B12">
          <w:rPr>
            <w:rStyle w:val="Hypertextovodkaz"/>
            <w:rFonts w:ascii="Verdana" w:hAnsi="Verdana"/>
            <w:caps/>
            <w:noProof/>
            <w:sz w:val="20"/>
            <w:szCs w:val="20"/>
          </w:rPr>
          <w:t>3.1.</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potřeby uživatelů</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_Toc304898607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6</w:t>
        </w:r>
        <w:r w:rsidRPr="00025B12">
          <w:rPr>
            <w:rFonts w:ascii="Verdana" w:hAnsi="Verdana"/>
            <w:noProof/>
            <w:webHidden/>
            <w:sz w:val="20"/>
            <w:szCs w:val="20"/>
          </w:rPr>
          <w:fldChar w:fldCharType="end"/>
        </w:r>
      </w:hyperlink>
    </w:p>
    <w:p w:rsidR="00C83E4D" w:rsidRPr="00025B12" w:rsidRDefault="00665F1D" w:rsidP="00C83E4D">
      <w:pPr>
        <w:pStyle w:val="Obsah3"/>
        <w:tabs>
          <w:tab w:val="left" w:pos="1320"/>
          <w:tab w:val="right" w:leader="dot" w:pos="9062"/>
        </w:tabs>
        <w:spacing w:before="120" w:after="0"/>
        <w:rPr>
          <w:rFonts w:ascii="Verdana" w:eastAsiaTheme="minorEastAsia" w:hAnsi="Verdana" w:cstheme="minorBidi"/>
          <w:noProof/>
          <w:sz w:val="20"/>
          <w:szCs w:val="20"/>
          <w:lang w:eastAsia="cs-CZ"/>
        </w:rPr>
      </w:pPr>
      <w:hyperlink w:anchor="_Toc304898608" w:history="1">
        <w:r w:rsidR="00C83E4D" w:rsidRPr="00025B12">
          <w:rPr>
            <w:rStyle w:val="Hypertextovodkaz"/>
            <w:rFonts w:ascii="Verdana" w:hAnsi="Verdana"/>
            <w:caps/>
            <w:noProof/>
            <w:sz w:val="20"/>
            <w:szCs w:val="20"/>
          </w:rPr>
          <w:t>3.1.1.</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Výsledky ankety mezi vzdělavateli</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_Toc304898608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6</w:t>
        </w:r>
        <w:r w:rsidRPr="00025B12">
          <w:rPr>
            <w:rFonts w:ascii="Verdana" w:hAnsi="Verdana"/>
            <w:noProof/>
            <w:webHidden/>
            <w:sz w:val="20"/>
            <w:szCs w:val="20"/>
          </w:rPr>
          <w:fldChar w:fldCharType="end"/>
        </w:r>
      </w:hyperlink>
    </w:p>
    <w:p w:rsidR="00C83E4D" w:rsidRPr="00025B12" w:rsidRDefault="00665F1D" w:rsidP="00C83E4D">
      <w:pPr>
        <w:pStyle w:val="Obsah3"/>
        <w:tabs>
          <w:tab w:val="left" w:pos="1320"/>
          <w:tab w:val="right" w:leader="dot" w:pos="9062"/>
        </w:tabs>
        <w:spacing w:before="120" w:after="0"/>
        <w:rPr>
          <w:rFonts w:ascii="Verdana" w:eastAsiaTheme="minorEastAsia" w:hAnsi="Verdana" w:cstheme="minorBidi"/>
          <w:noProof/>
          <w:sz w:val="20"/>
          <w:szCs w:val="20"/>
          <w:lang w:eastAsia="cs-CZ"/>
        </w:rPr>
      </w:pPr>
      <w:hyperlink w:anchor="_Toc304898609" w:history="1">
        <w:r w:rsidR="00C83E4D" w:rsidRPr="00025B12">
          <w:rPr>
            <w:rStyle w:val="Hypertextovodkaz"/>
            <w:rFonts w:ascii="Verdana" w:hAnsi="Verdana"/>
            <w:caps/>
            <w:noProof/>
            <w:sz w:val="20"/>
            <w:szCs w:val="20"/>
          </w:rPr>
          <w:t>3.1.2.</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názory decizní sféry – výsledky workshopů a připomínky expertů</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_Toc304898609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12</w:t>
        </w:r>
        <w:r w:rsidRPr="00025B12">
          <w:rPr>
            <w:rFonts w:ascii="Verdana" w:hAnsi="Verdana"/>
            <w:noProof/>
            <w:webHidden/>
            <w:sz w:val="20"/>
            <w:szCs w:val="20"/>
          </w:rPr>
          <w:fldChar w:fldCharType="end"/>
        </w:r>
      </w:hyperlink>
    </w:p>
    <w:p w:rsidR="00C83E4D" w:rsidRPr="00025B12" w:rsidRDefault="00665F1D" w:rsidP="00C83E4D">
      <w:pPr>
        <w:pStyle w:val="Obsah2"/>
        <w:tabs>
          <w:tab w:val="left" w:pos="1100"/>
          <w:tab w:val="right" w:leader="dot" w:pos="9062"/>
        </w:tabs>
        <w:spacing w:before="120" w:after="0"/>
        <w:rPr>
          <w:rFonts w:ascii="Verdana" w:eastAsiaTheme="minorEastAsia" w:hAnsi="Verdana" w:cstheme="minorBidi"/>
          <w:noProof/>
          <w:sz w:val="20"/>
          <w:szCs w:val="20"/>
          <w:lang w:eastAsia="cs-CZ"/>
        </w:rPr>
      </w:pPr>
      <w:hyperlink w:anchor="_Toc304898610" w:history="1">
        <w:r w:rsidR="00C83E4D" w:rsidRPr="00025B12">
          <w:rPr>
            <w:rStyle w:val="Hypertextovodkaz"/>
            <w:rFonts w:ascii="Verdana" w:hAnsi="Verdana"/>
            <w:caps/>
            <w:noProof/>
            <w:sz w:val="20"/>
            <w:szCs w:val="20"/>
          </w:rPr>
          <w:t>3.2.</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Dostupnost a kvalita informačních zdrojů</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_Toc304898610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16</w:t>
        </w:r>
        <w:r w:rsidRPr="00025B12">
          <w:rPr>
            <w:rFonts w:ascii="Verdana" w:hAnsi="Verdana"/>
            <w:noProof/>
            <w:webHidden/>
            <w:sz w:val="20"/>
            <w:szCs w:val="20"/>
          </w:rPr>
          <w:fldChar w:fldCharType="end"/>
        </w:r>
      </w:hyperlink>
    </w:p>
    <w:p w:rsidR="00C83E4D" w:rsidRPr="00025B12" w:rsidRDefault="00665F1D" w:rsidP="00C83E4D">
      <w:pPr>
        <w:pStyle w:val="Obsah2"/>
        <w:tabs>
          <w:tab w:val="left" w:pos="1100"/>
          <w:tab w:val="right" w:leader="dot" w:pos="9062"/>
        </w:tabs>
        <w:spacing w:before="120" w:after="0"/>
        <w:rPr>
          <w:rFonts w:ascii="Verdana" w:eastAsiaTheme="minorEastAsia" w:hAnsi="Verdana" w:cstheme="minorBidi"/>
          <w:noProof/>
          <w:sz w:val="20"/>
          <w:szCs w:val="20"/>
          <w:lang w:eastAsia="cs-CZ"/>
        </w:rPr>
      </w:pPr>
      <w:hyperlink w:anchor="_Toc304898611" w:history="1">
        <w:r w:rsidR="00C83E4D" w:rsidRPr="00025B12">
          <w:rPr>
            <w:rStyle w:val="Hypertextovodkaz"/>
            <w:rFonts w:ascii="Verdana" w:hAnsi="Verdana"/>
            <w:caps/>
            <w:noProof/>
            <w:sz w:val="20"/>
            <w:szCs w:val="20"/>
          </w:rPr>
          <w:t>3.3.</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Dosavadní zahraniční zkušenosti se systémem monitoringu dalšího vzdělávání v ČR a v zahraničí</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_Toc304898611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16</w:t>
        </w:r>
        <w:r w:rsidRPr="00025B12">
          <w:rPr>
            <w:rFonts w:ascii="Verdana" w:hAnsi="Verdana"/>
            <w:noProof/>
            <w:webHidden/>
            <w:sz w:val="20"/>
            <w:szCs w:val="20"/>
          </w:rPr>
          <w:fldChar w:fldCharType="end"/>
        </w:r>
      </w:hyperlink>
    </w:p>
    <w:p w:rsidR="00C83E4D" w:rsidRPr="00025B12" w:rsidRDefault="00665F1D" w:rsidP="00C83E4D">
      <w:pPr>
        <w:pStyle w:val="Obsah1"/>
        <w:tabs>
          <w:tab w:val="left" w:pos="660"/>
        </w:tabs>
        <w:spacing w:before="120" w:after="0"/>
        <w:rPr>
          <w:rFonts w:eastAsiaTheme="minorEastAsia" w:cstheme="minorBidi"/>
          <w:b w:val="0"/>
          <w:sz w:val="20"/>
          <w:szCs w:val="20"/>
          <w:lang w:eastAsia="cs-CZ"/>
        </w:rPr>
      </w:pPr>
      <w:hyperlink w:anchor="_Toc304898612" w:history="1">
        <w:r w:rsidR="00C83E4D" w:rsidRPr="00025B12">
          <w:rPr>
            <w:rStyle w:val="Hypertextovodkaz"/>
            <w:sz w:val="20"/>
            <w:szCs w:val="20"/>
          </w:rPr>
          <w:t>4.</w:t>
        </w:r>
        <w:r w:rsidR="00C83E4D" w:rsidRPr="00025B12">
          <w:rPr>
            <w:rFonts w:eastAsiaTheme="minorEastAsia" w:cstheme="minorBidi"/>
            <w:b w:val="0"/>
            <w:sz w:val="20"/>
            <w:szCs w:val="20"/>
            <w:lang w:eastAsia="cs-CZ"/>
          </w:rPr>
          <w:tab/>
        </w:r>
        <w:r w:rsidR="00C83E4D" w:rsidRPr="00025B12">
          <w:rPr>
            <w:rStyle w:val="Hypertextovodkaz"/>
            <w:sz w:val="20"/>
            <w:szCs w:val="20"/>
          </w:rPr>
          <w:t>INDIKÁTORY</w:t>
        </w:r>
        <w:r w:rsidR="00C83E4D" w:rsidRPr="00025B12">
          <w:rPr>
            <w:webHidden/>
            <w:sz w:val="20"/>
            <w:szCs w:val="20"/>
          </w:rPr>
          <w:tab/>
        </w:r>
        <w:r w:rsidRPr="00025B12">
          <w:rPr>
            <w:webHidden/>
            <w:sz w:val="20"/>
            <w:szCs w:val="20"/>
          </w:rPr>
          <w:fldChar w:fldCharType="begin"/>
        </w:r>
        <w:r w:rsidR="00C83E4D" w:rsidRPr="00025B12">
          <w:rPr>
            <w:webHidden/>
            <w:sz w:val="20"/>
            <w:szCs w:val="20"/>
          </w:rPr>
          <w:instrText xml:space="preserve"> PAGEREF _Toc304898612 \h </w:instrText>
        </w:r>
        <w:r w:rsidRPr="00025B12">
          <w:rPr>
            <w:webHidden/>
            <w:sz w:val="20"/>
            <w:szCs w:val="20"/>
          </w:rPr>
        </w:r>
        <w:r w:rsidRPr="00025B12">
          <w:rPr>
            <w:webHidden/>
            <w:sz w:val="20"/>
            <w:szCs w:val="20"/>
          </w:rPr>
          <w:fldChar w:fldCharType="separate"/>
        </w:r>
        <w:r w:rsidR="00870F1D">
          <w:rPr>
            <w:webHidden/>
            <w:sz w:val="20"/>
            <w:szCs w:val="20"/>
          </w:rPr>
          <w:t>18</w:t>
        </w:r>
        <w:r w:rsidRPr="00025B12">
          <w:rPr>
            <w:webHidden/>
            <w:sz w:val="20"/>
            <w:szCs w:val="20"/>
          </w:rPr>
          <w:fldChar w:fldCharType="end"/>
        </w:r>
      </w:hyperlink>
    </w:p>
    <w:p w:rsidR="00C83E4D" w:rsidRPr="00025B12" w:rsidRDefault="00665F1D" w:rsidP="00C83E4D">
      <w:pPr>
        <w:pStyle w:val="Obsah2"/>
        <w:tabs>
          <w:tab w:val="left" w:pos="1100"/>
          <w:tab w:val="right" w:leader="dot" w:pos="9062"/>
        </w:tabs>
        <w:spacing w:before="120" w:after="0"/>
        <w:rPr>
          <w:rFonts w:ascii="Verdana" w:eastAsiaTheme="minorEastAsia" w:hAnsi="Verdana" w:cstheme="minorBidi"/>
          <w:noProof/>
          <w:sz w:val="20"/>
          <w:szCs w:val="20"/>
          <w:lang w:eastAsia="cs-CZ"/>
        </w:rPr>
      </w:pPr>
      <w:hyperlink w:anchor="_Toc304898613" w:history="1">
        <w:r w:rsidR="00C83E4D" w:rsidRPr="00025B12">
          <w:rPr>
            <w:rStyle w:val="Hypertextovodkaz"/>
            <w:rFonts w:ascii="Verdana" w:hAnsi="Verdana"/>
            <w:caps/>
            <w:noProof/>
            <w:sz w:val="20"/>
            <w:szCs w:val="20"/>
          </w:rPr>
          <w:t>4.1.</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POPIS SystémU indikátorů</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_Toc304898613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18</w:t>
        </w:r>
        <w:r w:rsidRPr="00025B12">
          <w:rPr>
            <w:rFonts w:ascii="Verdana" w:hAnsi="Verdana"/>
            <w:noProof/>
            <w:webHidden/>
            <w:sz w:val="20"/>
            <w:szCs w:val="20"/>
          </w:rPr>
          <w:fldChar w:fldCharType="end"/>
        </w:r>
      </w:hyperlink>
    </w:p>
    <w:p w:rsidR="00C83E4D" w:rsidRPr="00025B12" w:rsidRDefault="00665F1D" w:rsidP="00C83E4D">
      <w:pPr>
        <w:pStyle w:val="Obsah3"/>
        <w:tabs>
          <w:tab w:val="left" w:pos="1320"/>
          <w:tab w:val="right" w:leader="dot" w:pos="9062"/>
        </w:tabs>
        <w:spacing w:before="120" w:after="0"/>
        <w:rPr>
          <w:rFonts w:ascii="Verdana" w:eastAsiaTheme="minorEastAsia" w:hAnsi="Verdana" w:cstheme="minorBidi"/>
          <w:noProof/>
          <w:sz w:val="20"/>
          <w:szCs w:val="20"/>
          <w:lang w:eastAsia="cs-CZ"/>
        </w:rPr>
      </w:pPr>
      <w:hyperlink w:anchor="_Toc304898614" w:history="1">
        <w:r w:rsidR="00C83E4D" w:rsidRPr="00025B12">
          <w:rPr>
            <w:rStyle w:val="Hypertextovodkaz"/>
            <w:rFonts w:ascii="Verdana" w:hAnsi="Verdana"/>
            <w:caps/>
            <w:noProof/>
            <w:sz w:val="20"/>
            <w:szCs w:val="20"/>
          </w:rPr>
          <w:t>4.1.1.</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Pilíře – oblasti - indikátory</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_Toc304898614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18</w:t>
        </w:r>
        <w:r w:rsidRPr="00025B12">
          <w:rPr>
            <w:rFonts w:ascii="Verdana" w:hAnsi="Verdana"/>
            <w:noProof/>
            <w:webHidden/>
            <w:sz w:val="20"/>
            <w:szCs w:val="20"/>
          </w:rPr>
          <w:fldChar w:fldCharType="end"/>
        </w:r>
      </w:hyperlink>
    </w:p>
    <w:p w:rsidR="00C83E4D" w:rsidRPr="00025B12" w:rsidRDefault="00665F1D" w:rsidP="00C83E4D">
      <w:pPr>
        <w:pStyle w:val="Obsah3"/>
        <w:tabs>
          <w:tab w:val="left" w:pos="1320"/>
          <w:tab w:val="right" w:leader="dot" w:pos="9062"/>
        </w:tabs>
        <w:spacing w:before="120" w:after="0"/>
        <w:rPr>
          <w:rFonts w:ascii="Verdana" w:eastAsiaTheme="minorEastAsia" w:hAnsi="Verdana" w:cstheme="minorBidi"/>
          <w:noProof/>
          <w:sz w:val="20"/>
          <w:szCs w:val="20"/>
          <w:lang w:eastAsia="cs-CZ"/>
        </w:rPr>
      </w:pPr>
      <w:hyperlink w:anchor="_Toc304898615" w:history="1">
        <w:r w:rsidR="00C83E4D" w:rsidRPr="00025B12">
          <w:rPr>
            <w:rStyle w:val="Hypertextovodkaz"/>
            <w:rFonts w:ascii="Verdana" w:hAnsi="Verdana"/>
            <w:caps/>
            <w:noProof/>
            <w:sz w:val="20"/>
            <w:szCs w:val="20"/>
          </w:rPr>
          <w:t>4.1.2.</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Mezinárodní srovnání – regiony – vývoj v čase</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_Toc304898615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20</w:t>
        </w:r>
        <w:r w:rsidRPr="00025B12">
          <w:rPr>
            <w:rFonts w:ascii="Verdana" w:hAnsi="Verdana"/>
            <w:noProof/>
            <w:webHidden/>
            <w:sz w:val="20"/>
            <w:szCs w:val="20"/>
          </w:rPr>
          <w:fldChar w:fldCharType="end"/>
        </w:r>
      </w:hyperlink>
    </w:p>
    <w:p w:rsidR="00C83E4D" w:rsidRPr="00025B12" w:rsidRDefault="00665F1D" w:rsidP="00C83E4D">
      <w:pPr>
        <w:pStyle w:val="Obsah3"/>
        <w:tabs>
          <w:tab w:val="left" w:pos="1320"/>
          <w:tab w:val="right" w:leader="dot" w:pos="9062"/>
        </w:tabs>
        <w:spacing w:before="120" w:after="0"/>
        <w:rPr>
          <w:rFonts w:ascii="Verdana" w:eastAsiaTheme="minorEastAsia" w:hAnsi="Verdana" w:cstheme="minorBidi"/>
          <w:noProof/>
          <w:sz w:val="20"/>
          <w:szCs w:val="20"/>
          <w:lang w:eastAsia="cs-CZ"/>
        </w:rPr>
      </w:pPr>
      <w:hyperlink w:anchor="_Toc304898616" w:history="1">
        <w:r w:rsidR="00C83E4D" w:rsidRPr="00025B12">
          <w:rPr>
            <w:rStyle w:val="Hypertextovodkaz"/>
            <w:rFonts w:ascii="Verdana" w:hAnsi="Verdana"/>
            <w:caps/>
            <w:noProof/>
            <w:sz w:val="20"/>
            <w:szCs w:val="20"/>
          </w:rPr>
          <w:t>4.1.3.</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Klíčové a doplňkové indikátory</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_Toc304898616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21</w:t>
        </w:r>
        <w:r w:rsidRPr="00025B12">
          <w:rPr>
            <w:rFonts w:ascii="Verdana" w:hAnsi="Verdana"/>
            <w:noProof/>
            <w:webHidden/>
            <w:sz w:val="20"/>
            <w:szCs w:val="20"/>
          </w:rPr>
          <w:fldChar w:fldCharType="end"/>
        </w:r>
      </w:hyperlink>
    </w:p>
    <w:p w:rsidR="00C83E4D" w:rsidRPr="00025B12" w:rsidRDefault="00665F1D" w:rsidP="00C83E4D">
      <w:pPr>
        <w:pStyle w:val="Obsah3"/>
        <w:tabs>
          <w:tab w:val="left" w:pos="1320"/>
          <w:tab w:val="right" w:leader="dot" w:pos="9062"/>
        </w:tabs>
        <w:spacing w:before="120" w:after="0"/>
        <w:rPr>
          <w:rFonts w:ascii="Verdana" w:eastAsiaTheme="minorEastAsia" w:hAnsi="Verdana" w:cstheme="minorBidi"/>
          <w:noProof/>
          <w:sz w:val="20"/>
          <w:szCs w:val="20"/>
          <w:lang w:eastAsia="cs-CZ"/>
        </w:rPr>
      </w:pPr>
      <w:hyperlink w:anchor="_Toc304898617" w:history="1">
        <w:r w:rsidR="00C83E4D" w:rsidRPr="00025B12">
          <w:rPr>
            <w:rStyle w:val="Hypertextovodkaz"/>
            <w:rFonts w:ascii="Verdana" w:hAnsi="Verdana"/>
            <w:caps/>
            <w:noProof/>
            <w:sz w:val="20"/>
            <w:szCs w:val="20"/>
          </w:rPr>
          <w:t>4.1.4.</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Indikátory pro specifické skupiny</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_Toc304898617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23</w:t>
        </w:r>
        <w:r w:rsidRPr="00025B12">
          <w:rPr>
            <w:rFonts w:ascii="Verdana" w:hAnsi="Verdana"/>
            <w:noProof/>
            <w:webHidden/>
            <w:sz w:val="20"/>
            <w:szCs w:val="20"/>
          </w:rPr>
          <w:fldChar w:fldCharType="end"/>
        </w:r>
      </w:hyperlink>
    </w:p>
    <w:p w:rsidR="00C83E4D" w:rsidRPr="00025B12" w:rsidRDefault="00665F1D" w:rsidP="00C83E4D">
      <w:pPr>
        <w:pStyle w:val="Obsah2"/>
        <w:tabs>
          <w:tab w:val="left" w:pos="1100"/>
          <w:tab w:val="right" w:leader="dot" w:pos="9062"/>
        </w:tabs>
        <w:spacing w:before="120" w:after="0"/>
        <w:rPr>
          <w:rFonts w:ascii="Verdana" w:eastAsiaTheme="minorEastAsia" w:hAnsi="Verdana" w:cstheme="minorBidi"/>
          <w:noProof/>
          <w:sz w:val="20"/>
          <w:szCs w:val="20"/>
          <w:lang w:eastAsia="cs-CZ"/>
        </w:rPr>
      </w:pPr>
      <w:hyperlink w:anchor="_Toc304898618" w:history="1">
        <w:r w:rsidR="00C83E4D" w:rsidRPr="00025B12">
          <w:rPr>
            <w:rStyle w:val="Hypertextovodkaz"/>
            <w:rFonts w:ascii="Verdana" w:hAnsi="Verdana"/>
            <w:caps/>
            <w:noProof/>
            <w:sz w:val="20"/>
            <w:szCs w:val="20"/>
          </w:rPr>
          <w:t>4.2.</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přehled indikátorů</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_Toc304898618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24</w:t>
        </w:r>
        <w:r w:rsidRPr="00025B12">
          <w:rPr>
            <w:rFonts w:ascii="Verdana" w:hAnsi="Verdana"/>
            <w:noProof/>
            <w:webHidden/>
            <w:sz w:val="20"/>
            <w:szCs w:val="20"/>
          </w:rPr>
          <w:fldChar w:fldCharType="end"/>
        </w:r>
      </w:hyperlink>
    </w:p>
    <w:p w:rsidR="00C83E4D" w:rsidRPr="00025B12" w:rsidRDefault="00665F1D" w:rsidP="00C83E4D">
      <w:pPr>
        <w:pStyle w:val="Obsah2"/>
        <w:tabs>
          <w:tab w:val="left" w:pos="1100"/>
          <w:tab w:val="right" w:leader="dot" w:pos="9062"/>
        </w:tabs>
        <w:spacing w:before="120" w:after="0"/>
        <w:rPr>
          <w:rFonts w:ascii="Verdana" w:eastAsiaTheme="minorEastAsia" w:hAnsi="Verdana" w:cstheme="minorBidi"/>
          <w:noProof/>
          <w:sz w:val="20"/>
          <w:szCs w:val="20"/>
          <w:lang w:eastAsia="cs-CZ"/>
        </w:rPr>
      </w:pPr>
      <w:hyperlink w:anchor="_Toc304898619" w:history="1">
        <w:r w:rsidR="00C83E4D" w:rsidRPr="00025B12">
          <w:rPr>
            <w:rStyle w:val="Hypertextovodkaz"/>
            <w:rFonts w:ascii="Verdana" w:hAnsi="Verdana"/>
            <w:caps/>
            <w:noProof/>
            <w:sz w:val="20"/>
            <w:szCs w:val="20"/>
          </w:rPr>
          <w:t>4.3.</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popis metodiky jednotlivých indikátorů</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_Toc304898619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26</w:t>
        </w:r>
        <w:r w:rsidRPr="00025B12">
          <w:rPr>
            <w:rFonts w:ascii="Verdana" w:hAnsi="Verdana"/>
            <w:noProof/>
            <w:webHidden/>
            <w:sz w:val="20"/>
            <w:szCs w:val="20"/>
          </w:rPr>
          <w:fldChar w:fldCharType="end"/>
        </w:r>
      </w:hyperlink>
    </w:p>
    <w:p w:rsidR="00C83E4D" w:rsidRPr="00025B12" w:rsidRDefault="00665F1D" w:rsidP="00C83E4D">
      <w:pPr>
        <w:pStyle w:val="Obsah3"/>
        <w:tabs>
          <w:tab w:val="left" w:pos="1320"/>
          <w:tab w:val="right" w:leader="dot" w:pos="9062"/>
        </w:tabs>
        <w:spacing w:before="120" w:after="0"/>
        <w:rPr>
          <w:rFonts w:ascii="Verdana" w:eastAsiaTheme="minorEastAsia" w:hAnsi="Verdana" w:cstheme="minorBidi"/>
          <w:noProof/>
          <w:sz w:val="20"/>
          <w:szCs w:val="20"/>
          <w:lang w:eastAsia="cs-CZ"/>
        </w:rPr>
      </w:pPr>
      <w:hyperlink w:anchor="_Toc304898620" w:history="1">
        <w:r w:rsidR="00C83E4D" w:rsidRPr="00025B12">
          <w:rPr>
            <w:rStyle w:val="Hypertextovodkaz"/>
            <w:rFonts w:ascii="Verdana" w:hAnsi="Verdana"/>
            <w:caps/>
            <w:noProof/>
            <w:sz w:val="20"/>
            <w:szCs w:val="20"/>
          </w:rPr>
          <w:t>4.3.1.</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Kontext</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_Toc304898620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26</w:t>
        </w:r>
        <w:r w:rsidRPr="00025B12">
          <w:rPr>
            <w:rFonts w:ascii="Verdana" w:hAnsi="Verdana"/>
            <w:noProof/>
            <w:webHidden/>
            <w:sz w:val="20"/>
            <w:szCs w:val="20"/>
          </w:rPr>
          <w:fldChar w:fldCharType="end"/>
        </w:r>
      </w:hyperlink>
    </w:p>
    <w:p w:rsidR="00C83E4D" w:rsidRPr="00025B12" w:rsidRDefault="00665F1D" w:rsidP="00C83E4D">
      <w:pPr>
        <w:pStyle w:val="Obsah3"/>
        <w:tabs>
          <w:tab w:val="left" w:pos="1320"/>
          <w:tab w:val="right" w:leader="dot" w:pos="9062"/>
        </w:tabs>
        <w:spacing w:before="120" w:after="0"/>
        <w:rPr>
          <w:rFonts w:ascii="Verdana" w:eastAsiaTheme="minorEastAsia" w:hAnsi="Verdana" w:cstheme="minorBidi"/>
          <w:noProof/>
          <w:sz w:val="20"/>
          <w:szCs w:val="20"/>
          <w:lang w:eastAsia="cs-CZ"/>
        </w:rPr>
      </w:pPr>
      <w:hyperlink w:anchor="_Toc304898621" w:history="1">
        <w:r w:rsidR="00C83E4D" w:rsidRPr="00025B12">
          <w:rPr>
            <w:rStyle w:val="Hypertextovodkaz"/>
            <w:rFonts w:ascii="Verdana" w:hAnsi="Verdana"/>
            <w:caps/>
            <w:noProof/>
            <w:sz w:val="20"/>
            <w:szCs w:val="20"/>
          </w:rPr>
          <w:t>4.3.2.</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Vstupy</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_Toc304898621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40</w:t>
        </w:r>
        <w:r w:rsidRPr="00025B12">
          <w:rPr>
            <w:rFonts w:ascii="Verdana" w:hAnsi="Verdana"/>
            <w:noProof/>
            <w:webHidden/>
            <w:sz w:val="20"/>
            <w:szCs w:val="20"/>
          </w:rPr>
          <w:fldChar w:fldCharType="end"/>
        </w:r>
      </w:hyperlink>
    </w:p>
    <w:p w:rsidR="00C83E4D" w:rsidRPr="00025B12" w:rsidRDefault="00665F1D" w:rsidP="00C83E4D">
      <w:pPr>
        <w:pStyle w:val="Obsah3"/>
        <w:tabs>
          <w:tab w:val="left" w:pos="1320"/>
          <w:tab w:val="right" w:leader="dot" w:pos="9062"/>
        </w:tabs>
        <w:spacing w:before="120" w:after="0"/>
        <w:rPr>
          <w:rFonts w:ascii="Verdana" w:eastAsiaTheme="minorEastAsia" w:hAnsi="Verdana" w:cstheme="minorBidi"/>
          <w:noProof/>
          <w:sz w:val="20"/>
          <w:szCs w:val="20"/>
          <w:lang w:eastAsia="cs-CZ"/>
        </w:rPr>
      </w:pPr>
      <w:hyperlink w:anchor="_Toc304898622" w:history="1">
        <w:r w:rsidR="00C83E4D" w:rsidRPr="00025B12">
          <w:rPr>
            <w:rStyle w:val="Hypertextovodkaz"/>
            <w:rFonts w:ascii="Verdana" w:hAnsi="Verdana"/>
            <w:caps/>
            <w:noProof/>
            <w:sz w:val="20"/>
            <w:szCs w:val="20"/>
          </w:rPr>
          <w:t>4.3.3.</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Procesy</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_Toc304898622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63</w:t>
        </w:r>
        <w:r w:rsidRPr="00025B12">
          <w:rPr>
            <w:rFonts w:ascii="Verdana" w:hAnsi="Verdana"/>
            <w:noProof/>
            <w:webHidden/>
            <w:sz w:val="20"/>
            <w:szCs w:val="20"/>
          </w:rPr>
          <w:fldChar w:fldCharType="end"/>
        </w:r>
      </w:hyperlink>
    </w:p>
    <w:p w:rsidR="00C83E4D" w:rsidRPr="00025B12" w:rsidRDefault="00665F1D" w:rsidP="00C83E4D">
      <w:pPr>
        <w:pStyle w:val="Obsah3"/>
        <w:tabs>
          <w:tab w:val="left" w:pos="1320"/>
          <w:tab w:val="right" w:leader="dot" w:pos="9062"/>
        </w:tabs>
        <w:spacing w:before="120" w:after="0"/>
        <w:rPr>
          <w:rFonts w:ascii="Verdana" w:eastAsiaTheme="minorEastAsia" w:hAnsi="Verdana" w:cstheme="minorBidi"/>
          <w:noProof/>
          <w:sz w:val="20"/>
          <w:szCs w:val="20"/>
          <w:lang w:eastAsia="cs-CZ"/>
        </w:rPr>
      </w:pPr>
      <w:hyperlink w:anchor="_Toc304898623" w:history="1">
        <w:r w:rsidR="00C83E4D" w:rsidRPr="00025B12">
          <w:rPr>
            <w:rStyle w:val="Hypertextovodkaz"/>
            <w:rFonts w:ascii="Verdana" w:hAnsi="Verdana"/>
            <w:caps/>
            <w:noProof/>
            <w:sz w:val="20"/>
            <w:szCs w:val="20"/>
          </w:rPr>
          <w:t>4.3.4.</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Výstupy</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_Toc304898623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80</w:t>
        </w:r>
        <w:r w:rsidRPr="00025B12">
          <w:rPr>
            <w:rFonts w:ascii="Verdana" w:hAnsi="Verdana"/>
            <w:noProof/>
            <w:webHidden/>
            <w:sz w:val="20"/>
            <w:szCs w:val="20"/>
          </w:rPr>
          <w:fldChar w:fldCharType="end"/>
        </w:r>
      </w:hyperlink>
    </w:p>
    <w:p w:rsidR="00C83E4D" w:rsidRPr="00025B12" w:rsidRDefault="00665F1D" w:rsidP="00C83E4D">
      <w:pPr>
        <w:pStyle w:val="Obsah3"/>
        <w:tabs>
          <w:tab w:val="left" w:pos="1320"/>
          <w:tab w:val="right" w:leader="dot" w:pos="9062"/>
        </w:tabs>
        <w:spacing w:before="120" w:after="0"/>
        <w:rPr>
          <w:rFonts w:ascii="Verdana" w:eastAsiaTheme="minorEastAsia" w:hAnsi="Verdana" w:cstheme="minorBidi"/>
          <w:noProof/>
          <w:sz w:val="20"/>
          <w:szCs w:val="20"/>
          <w:lang w:eastAsia="cs-CZ"/>
        </w:rPr>
      </w:pPr>
      <w:hyperlink w:anchor="_Toc304898624" w:history="1">
        <w:r w:rsidR="00C83E4D" w:rsidRPr="00025B12">
          <w:rPr>
            <w:rStyle w:val="Hypertextovodkaz"/>
            <w:rFonts w:ascii="Verdana" w:hAnsi="Verdana"/>
            <w:caps/>
            <w:noProof/>
            <w:sz w:val="20"/>
            <w:szCs w:val="20"/>
          </w:rPr>
          <w:t>4.3.5.</w:t>
        </w:r>
        <w:r w:rsidR="00C83E4D" w:rsidRPr="00025B12">
          <w:rPr>
            <w:rFonts w:ascii="Verdana" w:eastAsiaTheme="minorEastAsia" w:hAnsi="Verdana" w:cstheme="minorBidi"/>
            <w:noProof/>
            <w:sz w:val="20"/>
            <w:szCs w:val="20"/>
            <w:lang w:eastAsia="cs-CZ"/>
          </w:rPr>
          <w:tab/>
        </w:r>
        <w:r w:rsidR="00C83E4D" w:rsidRPr="00025B12">
          <w:rPr>
            <w:rStyle w:val="Hypertextovodkaz"/>
            <w:rFonts w:ascii="Verdana" w:hAnsi="Verdana"/>
            <w:caps/>
            <w:noProof/>
            <w:sz w:val="20"/>
            <w:szCs w:val="20"/>
          </w:rPr>
          <w:t>Vyřazené indikátory</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_Toc304898624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104</w:t>
        </w:r>
        <w:r w:rsidRPr="00025B12">
          <w:rPr>
            <w:rFonts w:ascii="Verdana" w:hAnsi="Verdana"/>
            <w:noProof/>
            <w:webHidden/>
            <w:sz w:val="20"/>
            <w:szCs w:val="20"/>
          </w:rPr>
          <w:fldChar w:fldCharType="end"/>
        </w:r>
      </w:hyperlink>
    </w:p>
    <w:p w:rsidR="00C83E4D" w:rsidRPr="00025B12" w:rsidRDefault="00665F1D" w:rsidP="00C83E4D">
      <w:pPr>
        <w:pStyle w:val="Obsah1"/>
        <w:tabs>
          <w:tab w:val="left" w:pos="660"/>
        </w:tabs>
        <w:spacing w:before="120" w:after="0"/>
        <w:rPr>
          <w:rFonts w:eastAsiaTheme="minorEastAsia" w:cstheme="minorBidi"/>
          <w:b w:val="0"/>
          <w:sz w:val="20"/>
          <w:szCs w:val="20"/>
          <w:lang w:eastAsia="cs-CZ"/>
        </w:rPr>
      </w:pPr>
      <w:hyperlink w:anchor="_Toc304898625" w:history="1">
        <w:r w:rsidR="00C83E4D" w:rsidRPr="00025B12">
          <w:rPr>
            <w:rStyle w:val="Hypertextovodkaz"/>
            <w:sz w:val="20"/>
            <w:szCs w:val="20"/>
          </w:rPr>
          <w:t>5.</w:t>
        </w:r>
        <w:r w:rsidR="00C83E4D" w:rsidRPr="00025B12">
          <w:rPr>
            <w:rFonts w:eastAsiaTheme="minorEastAsia" w:cstheme="minorBidi"/>
            <w:b w:val="0"/>
            <w:sz w:val="20"/>
            <w:szCs w:val="20"/>
            <w:lang w:eastAsia="cs-CZ"/>
          </w:rPr>
          <w:tab/>
        </w:r>
        <w:r w:rsidR="00C83E4D" w:rsidRPr="00025B12">
          <w:rPr>
            <w:rStyle w:val="Hypertextovodkaz"/>
            <w:sz w:val="20"/>
            <w:szCs w:val="20"/>
          </w:rPr>
          <w:t>DOPORUČENÍ PRO INFORMAČNÍ ZDROJE</w:t>
        </w:r>
        <w:r w:rsidR="00C83E4D" w:rsidRPr="00025B12">
          <w:rPr>
            <w:webHidden/>
            <w:sz w:val="20"/>
            <w:szCs w:val="20"/>
          </w:rPr>
          <w:tab/>
        </w:r>
        <w:r w:rsidRPr="00025B12">
          <w:rPr>
            <w:webHidden/>
            <w:sz w:val="20"/>
            <w:szCs w:val="20"/>
          </w:rPr>
          <w:fldChar w:fldCharType="begin"/>
        </w:r>
        <w:r w:rsidR="00C83E4D" w:rsidRPr="00025B12">
          <w:rPr>
            <w:webHidden/>
            <w:sz w:val="20"/>
            <w:szCs w:val="20"/>
          </w:rPr>
          <w:instrText xml:space="preserve"> PAGEREF _Toc304898625 \h </w:instrText>
        </w:r>
        <w:r w:rsidRPr="00025B12">
          <w:rPr>
            <w:webHidden/>
            <w:sz w:val="20"/>
            <w:szCs w:val="20"/>
          </w:rPr>
        </w:r>
        <w:r w:rsidRPr="00025B12">
          <w:rPr>
            <w:webHidden/>
            <w:sz w:val="20"/>
            <w:szCs w:val="20"/>
          </w:rPr>
          <w:fldChar w:fldCharType="separate"/>
        </w:r>
        <w:r w:rsidR="00870F1D">
          <w:rPr>
            <w:webHidden/>
            <w:sz w:val="20"/>
            <w:szCs w:val="20"/>
          </w:rPr>
          <w:t>108</w:t>
        </w:r>
        <w:r w:rsidRPr="00025B12">
          <w:rPr>
            <w:webHidden/>
            <w:sz w:val="20"/>
            <w:szCs w:val="20"/>
          </w:rPr>
          <w:fldChar w:fldCharType="end"/>
        </w:r>
      </w:hyperlink>
    </w:p>
    <w:p w:rsidR="00C83E4D" w:rsidRPr="00025B12" w:rsidRDefault="00665F1D" w:rsidP="00C83E4D">
      <w:pPr>
        <w:pStyle w:val="Obsah1"/>
        <w:spacing w:before="120" w:after="0"/>
        <w:rPr>
          <w:rFonts w:eastAsiaTheme="minorEastAsia" w:cstheme="minorBidi"/>
          <w:b w:val="0"/>
          <w:sz w:val="20"/>
          <w:szCs w:val="20"/>
          <w:lang w:eastAsia="cs-CZ"/>
        </w:rPr>
      </w:pPr>
      <w:hyperlink w:anchor="_Toc304898626" w:history="1">
        <w:r w:rsidR="00C83E4D" w:rsidRPr="00025B12">
          <w:rPr>
            <w:rStyle w:val="Hypertextovodkaz"/>
            <w:sz w:val="20"/>
            <w:szCs w:val="20"/>
          </w:rPr>
          <w:t>Přílohy</w:t>
        </w:r>
        <w:r w:rsidR="00C83E4D" w:rsidRPr="00025B12">
          <w:rPr>
            <w:webHidden/>
            <w:sz w:val="20"/>
            <w:szCs w:val="20"/>
          </w:rPr>
          <w:tab/>
        </w:r>
        <w:r w:rsidRPr="00025B12">
          <w:rPr>
            <w:webHidden/>
            <w:sz w:val="20"/>
            <w:szCs w:val="20"/>
          </w:rPr>
          <w:fldChar w:fldCharType="begin"/>
        </w:r>
        <w:r w:rsidR="00C83E4D" w:rsidRPr="00025B12">
          <w:rPr>
            <w:webHidden/>
            <w:sz w:val="20"/>
            <w:szCs w:val="20"/>
          </w:rPr>
          <w:instrText xml:space="preserve"> PAGEREF _Toc304898626 \h </w:instrText>
        </w:r>
        <w:r w:rsidRPr="00025B12">
          <w:rPr>
            <w:webHidden/>
            <w:sz w:val="20"/>
            <w:szCs w:val="20"/>
          </w:rPr>
        </w:r>
        <w:r w:rsidRPr="00025B12">
          <w:rPr>
            <w:webHidden/>
            <w:sz w:val="20"/>
            <w:szCs w:val="20"/>
          </w:rPr>
          <w:fldChar w:fldCharType="separate"/>
        </w:r>
        <w:r w:rsidR="00870F1D">
          <w:rPr>
            <w:webHidden/>
            <w:sz w:val="20"/>
            <w:szCs w:val="20"/>
          </w:rPr>
          <w:t>111</w:t>
        </w:r>
        <w:r w:rsidRPr="00025B12">
          <w:rPr>
            <w:webHidden/>
            <w:sz w:val="20"/>
            <w:szCs w:val="20"/>
          </w:rPr>
          <w:fldChar w:fldCharType="end"/>
        </w:r>
      </w:hyperlink>
    </w:p>
    <w:p w:rsidR="00C83E4D" w:rsidRPr="00025B12" w:rsidRDefault="00665F1D" w:rsidP="00C83E4D">
      <w:pPr>
        <w:pStyle w:val="Obsah2"/>
        <w:tabs>
          <w:tab w:val="right" w:leader="dot" w:pos="9062"/>
        </w:tabs>
        <w:spacing w:before="120" w:after="0"/>
        <w:rPr>
          <w:rFonts w:ascii="Verdana" w:eastAsiaTheme="minorEastAsia" w:hAnsi="Verdana" w:cstheme="minorBidi"/>
          <w:noProof/>
          <w:sz w:val="20"/>
          <w:szCs w:val="20"/>
          <w:lang w:eastAsia="cs-CZ"/>
        </w:rPr>
      </w:pPr>
      <w:hyperlink w:anchor="_Toc304898627" w:history="1">
        <w:r w:rsidR="00C83E4D" w:rsidRPr="00025B12">
          <w:rPr>
            <w:rStyle w:val="Hypertextovodkaz"/>
            <w:rFonts w:ascii="Verdana" w:hAnsi="Verdana"/>
            <w:caps/>
            <w:noProof/>
            <w:sz w:val="20"/>
            <w:szCs w:val="20"/>
          </w:rPr>
          <w:t>Příloha 1: Popis informačních zdrojů a šetření</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_Toc304898627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112</w:t>
        </w:r>
        <w:r w:rsidRPr="00025B12">
          <w:rPr>
            <w:rFonts w:ascii="Verdana" w:hAnsi="Verdana"/>
            <w:noProof/>
            <w:webHidden/>
            <w:sz w:val="20"/>
            <w:szCs w:val="20"/>
          </w:rPr>
          <w:fldChar w:fldCharType="end"/>
        </w:r>
      </w:hyperlink>
    </w:p>
    <w:p w:rsidR="00C83E4D" w:rsidRPr="00025B12" w:rsidRDefault="00665F1D" w:rsidP="00C83E4D">
      <w:pPr>
        <w:pStyle w:val="Obsah2"/>
        <w:tabs>
          <w:tab w:val="right" w:leader="dot" w:pos="9062"/>
        </w:tabs>
        <w:spacing w:before="120" w:after="0"/>
        <w:rPr>
          <w:rFonts w:ascii="Verdana" w:eastAsiaTheme="minorEastAsia" w:hAnsi="Verdana" w:cstheme="minorBidi"/>
          <w:noProof/>
          <w:sz w:val="20"/>
          <w:szCs w:val="20"/>
          <w:lang w:eastAsia="cs-CZ"/>
        </w:rPr>
      </w:pPr>
      <w:hyperlink w:anchor="_Toc304898628" w:history="1">
        <w:r w:rsidR="00C83E4D" w:rsidRPr="00025B12">
          <w:rPr>
            <w:rStyle w:val="Hypertextovodkaz"/>
            <w:rFonts w:ascii="Verdana" w:hAnsi="Verdana"/>
            <w:caps/>
            <w:noProof/>
            <w:sz w:val="20"/>
            <w:szCs w:val="20"/>
          </w:rPr>
          <w:t>Příloha 2: Vysvětlení základních pojmů</w:t>
        </w:r>
        <w:r w:rsidR="00C83E4D" w:rsidRPr="00025B12">
          <w:rPr>
            <w:rFonts w:ascii="Verdana" w:hAnsi="Verdana"/>
            <w:noProof/>
            <w:webHidden/>
            <w:sz w:val="20"/>
            <w:szCs w:val="20"/>
          </w:rPr>
          <w:tab/>
        </w:r>
        <w:r w:rsidRPr="00025B12">
          <w:rPr>
            <w:rFonts w:ascii="Verdana" w:hAnsi="Verdana"/>
            <w:noProof/>
            <w:webHidden/>
            <w:sz w:val="20"/>
            <w:szCs w:val="20"/>
          </w:rPr>
          <w:fldChar w:fldCharType="begin"/>
        </w:r>
        <w:r w:rsidR="00C83E4D" w:rsidRPr="00025B12">
          <w:rPr>
            <w:rFonts w:ascii="Verdana" w:hAnsi="Verdana"/>
            <w:noProof/>
            <w:webHidden/>
            <w:sz w:val="20"/>
            <w:szCs w:val="20"/>
          </w:rPr>
          <w:instrText xml:space="preserve"> PAGEREF _Toc304898628 \h </w:instrText>
        </w:r>
        <w:r w:rsidRPr="00025B12">
          <w:rPr>
            <w:rFonts w:ascii="Verdana" w:hAnsi="Verdana"/>
            <w:noProof/>
            <w:webHidden/>
            <w:sz w:val="20"/>
            <w:szCs w:val="20"/>
          </w:rPr>
        </w:r>
        <w:r w:rsidRPr="00025B12">
          <w:rPr>
            <w:rFonts w:ascii="Verdana" w:hAnsi="Verdana"/>
            <w:noProof/>
            <w:webHidden/>
            <w:sz w:val="20"/>
            <w:szCs w:val="20"/>
          </w:rPr>
          <w:fldChar w:fldCharType="separate"/>
        </w:r>
        <w:r w:rsidR="00870F1D">
          <w:rPr>
            <w:rFonts w:ascii="Verdana" w:hAnsi="Verdana"/>
            <w:noProof/>
            <w:webHidden/>
            <w:sz w:val="20"/>
            <w:szCs w:val="20"/>
          </w:rPr>
          <w:t>125</w:t>
        </w:r>
        <w:r w:rsidRPr="00025B12">
          <w:rPr>
            <w:rFonts w:ascii="Verdana" w:hAnsi="Verdana"/>
            <w:noProof/>
            <w:webHidden/>
            <w:sz w:val="20"/>
            <w:szCs w:val="20"/>
          </w:rPr>
          <w:fldChar w:fldCharType="end"/>
        </w:r>
      </w:hyperlink>
    </w:p>
    <w:p w:rsidR="00883F45" w:rsidRPr="00025B12" w:rsidRDefault="00665F1D" w:rsidP="00C83E4D">
      <w:pPr>
        <w:spacing w:before="120" w:after="0"/>
        <w:jc w:val="both"/>
        <w:rPr>
          <w:rFonts w:ascii="Verdana" w:hAnsi="Verdana"/>
          <w:noProof/>
        </w:rPr>
      </w:pPr>
      <w:r w:rsidRPr="00025B12">
        <w:rPr>
          <w:rFonts w:ascii="Verdana" w:hAnsi="Verdana"/>
          <w:noProof/>
          <w:sz w:val="20"/>
          <w:szCs w:val="20"/>
        </w:rPr>
        <w:fldChar w:fldCharType="end"/>
      </w:r>
    </w:p>
    <w:p w:rsidR="000C52A6" w:rsidRPr="00025B12" w:rsidRDefault="00883F45" w:rsidP="001E6F1A">
      <w:pPr>
        <w:jc w:val="both"/>
        <w:rPr>
          <w:rFonts w:ascii="Verdana" w:hAnsi="Verdana"/>
          <w:b/>
        </w:rPr>
      </w:pPr>
      <w:r w:rsidRPr="00025B12">
        <w:rPr>
          <w:rFonts w:ascii="Verdana" w:hAnsi="Verdana"/>
          <w:noProof/>
        </w:rPr>
        <w:br w:type="page"/>
      </w:r>
    </w:p>
    <w:p w:rsidR="00EA6E00" w:rsidRPr="00025B12" w:rsidRDefault="00EA6E00" w:rsidP="005E2CC2">
      <w:pPr>
        <w:pStyle w:val="Nadpiskonc1"/>
        <w:numPr>
          <w:ilvl w:val="0"/>
          <w:numId w:val="10"/>
        </w:numPr>
        <w:pBdr>
          <w:top w:val="single" w:sz="4" w:space="1" w:color="000000"/>
          <w:left w:val="single" w:sz="4" w:space="4" w:color="000000"/>
          <w:bottom w:val="single" w:sz="4" w:space="1" w:color="000000"/>
          <w:right w:val="single" w:sz="4" w:space="4" w:color="000000"/>
        </w:pBdr>
        <w:rPr>
          <w:rFonts w:ascii="Verdana" w:hAnsi="Verdana"/>
          <w:sz w:val="36"/>
          <w:szCs w:val="36"/>
        </w:rPr>
      </w:pPr>
      <w:bookmarkStart w:id="5" w:name="_Toc289351167"/>
      <w:bookmarkStart w:id="6" w:name="_Toc289351249"/>
      <w:bookmarkStart w:id="7" w:name="_Toc304898604"/>
      <w:r w:rsidRPr="00025B12">
        <w:rPr>
          <w:rFonts w:ascii="Verdana" w:hAnsi="Verdana"/>
          <w:sz w:val="36"/>
          <w:szCs w:val="36"/>
        </w:rPr>
        <w:t>Úvod</w:t>
      </w:r>
      <w:bookmarkEnd w:id="5"/>
      <w:bookmarkEnd w:id="6"/>
      <w:bookmarkEnd w:id="7"/>
    </w:p>
    <w:p w:rsidR="002B12AD" w:rsidRPr="00025B12" w:rsidRDefault="002B12AD" w:rsidP="001E6F1A">
      <w:pPr>
        <w:jc w:val="both"/>
        <w:rPr>
          <w:rFonts w:ascii="Verdana" w:hAnsi="Verdana"/>
          <w:noProof/>
          <w:sz w:val="20"/>
          <w:szCs w:val="20"/>
        </w:rPr>
      </w:pPr>
      <w:r w:rsidRPr="00025B12">
        <w:rPr>
          <w:rFonts w:ascii="Verdana" w:hAnsi="Verdana"/>
          <w:noProof/>
          <w:sz w:val="20"/>
          <w:szCs w:val="20"/>
        </w:rPr>
        <w:t xml:space="preserve">V následující studii </w:t>
      </w:r>
      <w:r w:rsidR="007C2910" w:rsidRPr="00025B12">
        <w:rPr>
          <w:rFonts w:ascii="Verdana" w:hAnsi="Verdana"/>
          <w:noProof/>
          <w:sz w:val="20"/>
          <w:szCs w:val="20"/>
        </w:rPr>
        <w:t>je</w:t>
      </w:r>
      <w:r w:rsidR="00ED6EB2" w:rsidRPr="00025B12">
        <w:rPr>
          <w:rFonts w:ascii="Verdana" w:hAnsi="Verdana"/>
          <w:noProof/>
          <w:sz w:val="20"/>
          <w:szCs w:val="20"/>
        </w:rPr>
        <w:t xml:space="preserve"> představen návrh systému indikátorů pro monitoring dalšího vzdělávání. V první části studie jsou</w:t>
      </w:r>
      <w:r w:rsidR="00400EEB" w:rsidRPr="00025B12">
        <w:rPr>
          <w:rFonts w:ascii="Verdana" w:hAnsi="Verdana"/>
          <w:noProof/>
          <w:sz w:val="20"/>
          <w:szCs w:val="20"/>
        </w:rPr>
        <w:t xml:space="preserve"> představena východiska, o která</w:t>
      </w:r>
      <w:r w:rsidR="00ED6EB2" w:rsidRPr="00025B12">
        <w:rPr>
          <w:rFonts w:ascii="Verdana" w:hAnsi="Verdana"/>
          <w:noProof/>
          <w:sz w:val="20"/>
          <w:szCs w:val="20"/>
        </w:rPr>
        <w:t xml:space="preserve"> se návrh opírá. Jedná se především o analýzu současného stavu, analýzu informačních zdrojů pro monitoring a analýzu zahraničních zkušeností, které byly zpracovány v předchozích etapách projektu. Posledním, ale </w:t>
      </w:r>
      <w:r w:rsidR="007C2910" w:rsidRPr="00025B12">
        <w:rPr>
          <w:rFonts w:ascii="Verdana" w:hAnsi="Verdana"/>
          <w:noProof/>
          <w:sz w:val="20"/>
          <w:szCs w:val="20"/>
        </w:rPr>
        <w:t>zásadním</w:t>
      </w:r>
      <w:r w:rsidR="00ED6EB2" w:rsidRPr="00025B12">
        <w:rPr>
          <w:rFonts w:ascii="Verdana" w:hAnsi="Verdana"/>
          <w:noProof/>
          <w:sz w:val="20"/>
          <w:szCs w:val="20"/>
        </w:rPr>
        <w:t xml:space="preserve"> východiskem jsou výsledky anketního šetření</w:t>
      </w:r>
      <w:r w:rsidR="007C2910" w:rsidRPr="00025B12">
        <w:rPr>
          <w:rFonts w:ascii="Verdana" w:hAnsi="Verdana"/>
          <w:noProof/>
          <w:sz w:val="20"/>
          <w:szCs w:val="20"/>
        </w:rPr>
        <w:t xml:space="preserve"> a workshopů</w:t>
      </w:r>
      <w:r w:rsidR="00ED6EB2" w:rsidRPr="00025B12">
        <w:rPr>
          <w:rFonts w:ascii="Verdana" w:hAnsi="Verdana"/>
          <w:noProof/>
          <w:sz w:val="20"/>
          <w:szCs w:val="20"/>
        </w:rPr>
        <w:t xml:space="preserve"> mapující</w:t>
      </w:r>
      <w:r w:rsidR="007C2910" w:rsidRPr="00025B12">
        <w:rPr>
          <w:rFonts w:ascii="Verdana" w:hAnsi="Verdana"/>
          <w:noProof/>
          <w:sz w:val="20"/>
          <w:szCs w:val="20"/>
        </w:rPr>
        <w:t>ch</w:t>
      </w:r>
      <w:r w:rsidR="00ED6EB2" w:rsidRPr="00025B12">
        <w:rPr>
          <w:rFonts w:ascii="Verdana" w:hAnsi="Verdana"/>
          <w:noProof/>
          <w:sz w:val="20"/>
          <w:szCs w:val="20"/>
        </w:rPr>
        <w:t xml:space="preserve"> informační potřeby potenciálních uživatelů systému monitoringu dalšího vzdělávání.</w:t>
      </w:r>
    </w:p>
    <w:p w:rsidR="00ED6EB2" w:rsidRPr="00025B12" w:rsidRDefault="00ED6EB2" w:rsidP="001E6F1A">
      <w:pPr>
        <w:jc w:val="both"/>
        <w:rPr>
          <w:rFonts w:ascii="Verdana" w:hAnsi="Verdana"/>
          <w:noProof/>
          <w:sz w:val="20"/>
          <w:szCs w:val="20"/>
        </w:rPr>
      </w:pPr>
      <w:r w:rsidRPr="00025B12">
        <w:rPr>
          <w:rFonts w:ascii="Verdana" w:hAnsi="Verdana"/>
          <w:noProof/>
          <w:sz w:val="20"/>
          <w:szCs w:val="20"/>
        </w:rPr>
        <w:t xml:space="preserve">Druhá část studie již představuje samotný </w:t>
      </w:r>
      <w:r w:rsidR="00D505BD" w:rsidRPr="00025B12">
        <w:rPr>
          <w:rFonts w:ascii="Verdana" w:hAnsi="Verdana"/>
          <w:noProof/>
          <w:sz w:val="20"/>
          <w:szCs w:val="20"/>
        </w:rPr>
        <w:t>soubor</w:t>
      </w:r>
      <w:r w:rsidRPr="00025B12">
        <w:rPr>
          <w:rFonts w:ascii="Verdana" w:hAnsi="Verdana"/>
          <w:noProof/>
          <w:sz w:val="20"/>
          <w:szCs w:val="20"/>
        </w:rPr>
        <w:t xml:space="preserve"> indikátorů. Nejprve je vysvětlen čtyřpilířový princip, na</w:t>
      </w:r>
      <w:r w:rsidR="007C2910" w:rsidRPr="00025B12">
        <w:rPr>
          <w:rFonts w:ascii="Verdana" w:hAnsi="Verdana"/>
          <w:noProof/>
          <w:sz w:val="20"/>
          <w:szCs w:val="20"/>
        </w:rPr>
        <w:t xml:space="preserve"> kterém je celý </w:t>
      </w:r>
      <w:r w:rsidR="00D505BD" w:rsidRPr="00025B12">
        <w:rPr>
          <w:rFonts w:ascii="Verdana" w:hAnsi="Verdana"/>
          <w:noProof/>
          <w:sz w:val="20"/>
          <w:szCs w:val="20"/>
        </w:rPr>
        <w:t>soubor</w:t>
      </w:r>
      <w:r w:rsidR="007C2910" w:rsidRPr="00025B12">
        <w:rPr>
          <w:rFonts w:ascii="Verdana" w:hAnsi="Verdana"/>
          <w:noProof/>
          <w:sz w:val="20"/>
          <w:szCs w:val="20"/>
        </w:rPr>
        <w:t xml:space="preserve"> postaven. Dále je popsán způsob členění indikátorů na klíčové a doplňkové a nakonec</w:t>
      </w:r>
      <w:r w:rsidRPr="00025B12">
        <w:rPr>
          <w:rFonts w:ascii="Verdana" w:hAnsi="Verdana"/>
          <w:noProof/>
          <w:sz w:val="20"/>
          <w:szCs w:val="20"/>
        </w:rPr>
        <w:t xml:space="preserve"> jsou představ</w:t>
      </w:r>
      <w:r w:rsidR="004C061E">
        <w:rPr>
          <w:rFonts w:ascii="Verdana" w:hAnsi="Verdana"/>
          <w:noProof/>
          <w:sz w:val="20"/>
          <w:szCs w:val="20"/>
        </w:rPr>
        <w:t>e</w:t>
      </w:r>
      <w:r w:rsidRPr="00025B12">
        <w:rPr>
          <w:rFonts w:ascii="Verdana" w:hAnsi="Verdana"/>
          <w:noProof/>
          <w:sz w:val="20"/>
          <w:szCs w:val="20"/>
        </w:rPr>
        <w:t xml:space="preserve">ny jednotlivé pilíře a </w:t>
      </w:r>
      <w:r w:rsidR="007C2910" w:rsidRPr="00025B12">
        <w:rPr>
          <w:rFonts w:ascii="Verdana" w:hAnsi="Verdana"/>
          <w:noProof/>
          <w:sz w:val="20"/>
          <w:szCs w:val="20"/>
        </w:rPr>
        <w:t>popsána metodika jednotlivých indikátorů</w:t>
      </w:r>
      <w:r w:rsidRPr="00025B12">
        <w:rPr>
          <w:rFonts w:ascii="Verdana" w:hAnsi="Verdana"/>
          <w:noProof/>
          <w:sz w:val="20"/>
          <w:szCs w:val="20"/>
        </w:rPr>
        <w:t>. Nedílnou a klíčovou součástí studie jsou přílohy, které</w:t>
      </w:r>
      <w:r w:rsidR="00966879" w:rsidRPr="00025B12">
        <w:rPr>
          <w:rFonts w:ascii="Verdana" w:hAnsi="Verdana"/>
          <w:noProof/>
          <w:sz w:val="20"/>
          <w:szCs w:val="20"/>
        </w:rPr>
        <w:t xml:space="preserve"> </w:t>
      </w:r>
      <w:r w:rsidR="00DD4D2F" w:rsidRPr="00025B12">
        <w:rPr>
          <w:rFonts w:ascii="Verdana" w:hAnsi="Verdana"/>
          <w:noProof/>
          <w:sz w:val="20"/>
          <w:szCs w:val="20"/>
        </w:rPr>
        <w:t xml:space="preserve">obsahují </w:t>
      </w:r>
      <w:r w:rsidR="007C2910" w:rsidRPr="00025B12">
        <w:rPr>
          <w:rFonts w:ascii="Verdana" w:hAnsi="Verdana"/>
          <w:noProof/>
          <w:sz w:val="20"/>
          <w:szCs w:val="20"/>
        </w:rPr>
        <w:t>přehled</w:t>
      </w:r>
      <w:r w:rsidR="00DD4D2F" w:rsidRPr="00025B12">
        <w:rPr>
          <w:rFonts w:ascii="Verdana" w:hAnsi="Verdana"/>
          <w:noProof/>
          <w:sz w:val="20"/>
          <w:szCs w:val="20"/>
        </w:rPr>
        <w:t xml:space="preserve"> indikátorů a také aktuální data k jednotlivým indikátorům, pokud jsou </w:t>
      </w:r>
      <w:r w:rsidR="007C2910" w:rsidRPr="00025B12">
        <w:rPr>
          <w:rFonts w:ascii="Verdana" w:hAnsi="Verdana"/>
          <w:noProof/>
          <w:sz w:val="20"/>
          <w:szCs w:val="20"/>
        </w:rPr>
        <w:t xml:space="preserve">v současné době </w:t>
      </w:r>
      <w:r w:rsidR="00DD4D2F" w:rsidRPr="00025B12">
        <w:rPr>
          <w:rFonts w:ascii="Verdana" w:hAnsi="Verdana"/>
          <w:noProof/>
          <w:sz w:val="20"/>
          <w:szCs w:val="20"/>
        </w:rPr>
        <w:t>dostupná.</w:t>
      </w:r>
    </w:p>
    <w:p w:rsidR="0074593A" w:rsidRPr="00025B12" w:rsidRDefault="0078007C" w:rsidP="001E6F1A">
      <w:pPr>
        <w:jc w:val="both"/>
        <w:rPr>
          <w:rFonts w:ascii="Verdana" w:hAnsi="Verdana"/>
          <w:noProof/>
          <w:sz w:val="20"/>
          <w:szCs w:val="20"/>
        </w:rPr>
      </w:pPr>
      <w:r w:rsidRPr="00025B12">
        <w:rPr>
          <w:rFonts w:ascii="Verdana" w:hAnsi="Verdana"/>
          <w:noProof/>
          <w:sz w:val="20"/>
          <w:szCs w:val="20"/>
        </w:rPr>
        <w:t>Návrh systému byl v průběhu tvorby dvakrát podrobně diskutován se skupinou expertů</w:t>
      </w:r>
      <w:r w:rsidR="00D30C29">
        <w:rPr>
          <w:rFonts w:ascii="Verdana" w:hAnsi="Verdana"/>
          <w:noProof/>
          <w:sz w:val="20"/>
          <w:szCs w:val="20"/>
        </w:rPr>
        <w:t>. Ta</w:t>
      </w:r>
      <w:r w:rsidR="00B42C52" w:rsidRPr="00025B12">
        <w:rPr>
          <w:rFonts w:ascii="Verdana" w:hAnsi="Verdana"/>
          <w:noProof/>
          <w:sz w:val="20"/>
          <w:szCs w:val="20"/>
        </w:rPr>
        <w:t xml:space="preserve"> byla ustavena již na začátku projektu a zahrnovala jak zástupce institucí sbírajících a zpracovávajících statistická data (ČSÚ, ÚIV, MPSV, Trexima), tak institucí, které budou výstupy systému monitoringu využívat (MŠMT, MPSV, NÚV, AIVD, vzdělavatelé). Expertní skupina </w:t>
      </w:r>
      <w:r w:rsidR="0027672A">
        <w:rPr>
          <w:rFonts w:ascii="Verdana" w:hAnsi="Verdana"/>
          <w:noProof/>
          <w:sz w:val="20"/>
          <w:szCs w:val="20"/>
        </w:rPr>
        <w:t>rovněž</w:t>
      </w:r>
      <w:r w:rsidR="00B42C52" w:rsidRPr="00025B12">
        <w:rPr>
          <w:rFonts w:ascii="Verdana" w:hAnsi="Verdana"/>
          <w:noProof/>
          <w:sz w:val="20"/>
          <w:szCs w:val="20"/>
        </w:rPr>
        <w:t xml:space="preserve"> průběžné komentov</w:t>
      </w:r>
      <w:r w:rsidR="0027672A">
        <w:rPr>
          <w:rFonts w:ascii="Verdana" w:hAnsi="Verdana"/>
          <w:noProof/>
          <w:sz w:val="20"/>
          <w:szCs w:val="20"/>
        </w:rPr>
        <w:t>ala pracovní verze</w:t>
      </w:r>
      <w:r w:rsidR="00B42C52" w:rsidRPr="00025B12">
        <w:rPr>
          <w:rFonts w:ascii="Verdana" w:hAnsi="Verdana"/>
          <w:noProof/>
          <w:sz w:val="20"/>
          <w:szCs w:val="20"/>
        </w:rPr>
        <w:t xml:space="preserve"> výstupů.</w:t>
      </w:r>
    </w:p>
    <w:p w:rsidR="00F97B75" w:rsidRPr="00025B12" w:rsidRDefault="00F97B75" w:rsidP="00F97B75">
      <w:pPr>
        <w:jc w:val="both"/>
        <w:rPr>
          <w:rFonts w:ascii="Verdana" w:hAnsi="Verdana"/>
          <w:noProof/>
          <w:sz w:val="20"/>
          <w:szCs w:val="20"/>
        </w:rPr>
      </w:pPr>
      <w:r w:rsidRPr="00025B12">
        <w:rPr>
          <w:rFonts w:ascii="Verdana" w:hAnsi="Verdana"/>
          <w:noProof/>
          <w:sz w:val="20"/>
          <w:szCs w:val="20"/>
        </w:rPr>
        <w:t xml:space="preserve">Předkládaná studie je </w:t>
      </w:r>
      <w:r w:rsidR="00A67A0B">
        <w:rPr>
          <w:rFonts w:ascii="Verdana" w:hAnsi="Verdana"/>
          <w:noProof/>
          <w:sz w:val="20"/>
          <w:szCs w:val="20"/>
        </w:rPr>
        <w:t>návrhem souboru ukazatelů, který</w:t>
      </w:r>
      <w:r w:rsidRPr="00025B12">
        <w:rPr>
          <w:rFonts w:ascii="Verdana" w:hAnsi="Verdana"/>
          <w:noProof/>
          <w:sz w:val="20"/>
          <w:szCs w:val="20"/>
        </w:rPr>
        <w:t xml:space="preserve"> komplexně pokrýv</w:t>
      </w:r>
      <w:r w:rsidR="00A67A0B">
        <w:rPr>
          <w:rFonts w:ascii="Verdana" w:hAnsi="Verdana"/>
          <w:noProof/>
          <w:sz w:val="20"/>
          <w:szCs w:val="20"/>
        </w:rPr>
        <w:t xml:space="preserve">á </w:t>
      </w:r>
      <w:r w:rsidRPr="00025B12">
        <w:rPr>
          <w:rFonts w:ascii="Verdana" w:hAnsi="Verdana"/>
          <w:noProof/>
          <w:sz w:val="20"/>
          <w:szCs w:val="20"/>
        </w:rPr>
        <w:t>problematiku dalšího vzdělávání. Problematika toho, jak tyto ukazatele předávat v uživatelsky srozumitelné a p</w:t>
      </w:r>
      <w:r w:rsidR="00304766" w:rsidRPr="00025B12">
        <w:rPr>
          <w:rFonts w:ascii="Verdana" w:hAnsi="Verdana"/>
          <w:noProof/>
          <w:sz w:val="20"/>
          <w:szCs w:val="20"/>
        </w:rPr>
        <w:t>řehledné</w:t>
      </w:r>
      <w:r w:rsidRPr="00025B12">
        <w:rPr>
          <w:rFonts w:ascii="Verdana" w:hAnsi="Verdana"/>
          <w:noProof/>
          <w:sz w:val="20"/>
          <w:szCs w:val="20"/>
        </w:rPr>
        <w:t xml:space="preserve"> podobě, bude řešena v následujícím období v rámci aktivity III.C zakázky projektu Koncept. </w:t>
      </w:r>
    </w:p>
    <w:p w:rsidR="0074593A" w:rsidRPr="00025B12" w:rsidRDefault="00333E38" w:rsidP="00846FCD">
      <w:pPr>
        <w:pStyle w:val="Nadpiskonc1"/>
        <w:numPr>
          <w:ilvl w:val="0"/>
          <w:numId w:val="10"/>
        </w:numPr>
        <w:pBdr>
          <w:top w:val="single" w:sz="4" w:space="1" w:color="000000"/>
          <w:left w:val="single" w:sz="4" w:space="4" w:color="000000"/>
          <w:bottom w:val="single" w:sz="4" w:space="1" w:color="000000"/>
          <w:right w:val="single" w:sz="4" w:space="4" w:color="000000"/>
        </w:pBdr>
        <w:rPr>
          <w:rFonts w:ascii="Verdana" w:hAnsi="Verdana"/>
          <w:sz w:val="36"/>
          <w:szCs w:val="36"/>
        </w:rPr>
      </w:pPr>
      <w:r w:rsidRPr="00025B12">
        <w:rPr>
          <w:rFonts w:ascii="Verdana" w:hAnsi="Verdana"/>
          <w:sz w:val="36"/>
          <w:szCs w:val="36"/>
        </w:rPr>
        <w:br w:type="page"/>
      </w:r>
      <w:bookmarkStart w:id="8" w:name="_Toc304898605"/>
      <w:r w:rsidR="00637AB8" w:rsidRPr="00025B12">
        <w:rPr>
          <w:rFonts w:ascii="Verdana" w:hAnsi="Verdana"/>
          <w:sz w:val="36"/>
          <w:szCs w:val="36"/>
        </w:rPr>
        <w:lastRenderedPageBreak/>
        <w:t>Technické i</w:t>
      </w:r>
      <w:r w:rsidR="0074593A" w:rsidRPr="00025B12">
        <w:rPr>
          <w:rFonts w:ascii="Verdana" w:hAnsi="Verdana"/>
          <w:sz w:val="36"/>
          <w:szCs w:val="36"/>
        </w:rPr>
        <w:t xml:space="preserve">nstrukce pro práci s dokumenty </w:t>
      </w:r>
      <w:r w:rsidR="003C01A3" w:rsidRPr="00025B12">
        <w:rPr>
          <w:rFonts w:ascii="Verdana" w:hAnsi="Verdana"/>
          <w:sz w:val="36"/>
          <w:szCs w:val="36"/>
        </w:rPr>
        <w:t>studie S</w:t>
      </w:r>
      <w:r w:rsidR="00654878" w:rsidRPr="00025B12">
        <w:rPr>
          <w:rFonts w:ascii="Verdana" w:hAnsi="Verdana"/>
          <w:sz w:val="36"/>
          <w:szCs w:val="36"/>
        </w:rPr>
        <w:t>10</w:t>
      </w:r>
      <w:bookmarkEnd w:id="8"/>
    </w:p>
    <w:p w:rsidR="0074593A" w:rsidRPr="00025B12" w:rsidRDefault="0074593A" w:rsidP="001E6F1A">
      <w:pPr>
        <w:jc w:val="both"/>
        <w:rPr>
          <w:rFonts w:ascii="Verdana" w:hAnsi="Verdana"/>
          <w:noProof/>
          <w:sz w:val="20"/>
          <w:szCs w:val="20"/>
        </w:rPr>
      </w:pPr>
    </w:p>
    <w:p w:rsidR="00654878" w:rsidRPr="00025B12" w:rsidRDefault="000220EA" w:rsidP="00654878">
      <w:pPr>
        <w:jc w:val="both"/>
        <w:rPr>
          <w:rFonts w:ascii="Verdana" w:hAnsi="Verdana"/>
          <w:noProof/>
          <w:sz w:val="20"/>
          <w:szCs w:val="20"/>
        </w:rPr>
      </w:pPr>
      <w:r w:rsidRPr="00025B12">
        <w:rPr>
          <w:rFonts w:ascii="Verdana" w:hAnsi="Verdana"/>
          <w:noProof/>
          <w:sz w:val="20"/>
          <w:szCs w:val="20"/>
        </w:rPr>
        <w:t>N</w:t>
      </w:r>
      <w:r w:rsidR="00654878" w:rsidRPr="00025B12">
        <w:rPr>
          <w:rFonts w:ascii="Verdana" w:hAnsi="Verdana"/>
          <w:noProof/>
          <w:sz w:val="20"/>
          <w:szCs w:val="20"/>
        </w:rPr>
        <w:t xml:space="preserve">ávrh </w:t>
      </w:r>
      <w:r w:rsidR="00D505BD" w:rsidRPr="00025B12">
        <w:rPr>
          <w:rFonts w:ascii="Verdana" w:hAnsi="Verdana"/>
          <w:noProof/>
          <w:sz w:val="20"/>
          <w:szCs w:val="20"/>
        </w:rPr>
        <w:t>souboru</w:t>
      </w:r>
      <w:r w:rsidR="00654878" w:rsidRPr="00025B12">
        <w:rPr>
          <w:rFonts w:ascii="Verdana" w:hAnsi="Verdana"/>
          <w:noProof/>
          <w:sz w:val="20"/>
          <w:szCs w:val="20"/>
        </w:rPr>
        <w:t xml:space="preserve"> </w:t>
      </w:r>
      <w:r w:rsidR="00D505BD" w:rsidRPr="00025B12">
        <w:rPr>
          <w:rFonts w:ascii="Verdana" w:hAnsi="Verdana"/>
          <w:noProof/>
          <w:sz w:val="20"/>
          <w:szCs w:val="20"/>
        </w:rPr>
        <w:t>ukazatelů</w:t>
      </w:r>
      <w:r w:rsidR="00654878" w:rsidRPr="00025B12">
        <w:rPr>
          <w:rFonts w:ascii="Verdana" w:hAnsi="Verdana"/>
          <w:noProof/>
          <w:sz w:val="20"/>
          <w:szCs w:val="20"/>
        </w:rPr>
        <w:t xml:space="preserve"> obsahuje větší množství souborů</w:t>
      </w:r>
      <w:r w:rsidR="003C01A3" w:rsidRPr="00025B12">
        <w:rPr>
          <w:rFonts w:ascii="Verdana" w:hAnsi="Verdana"/>
          <w:noProof/>
          <w:sz w:val="20"/>
          <w:szCs w:val="20"/>
        </w:rPr>
        <w:t xml:space="preserve"> v elektronické podobě</w:t>
      </w:r>
      <w:r w:rsidR="00654878" w:rsidRPr="00025B12">
        <w:rPr>
          <w:rFonts w:ascii="Verdana" w:hAnsi="Verdana"/>
          <w:noProof/>
          <w:sz w:val="20"/>
          <w:szCs w:val="20"/>
        </w:rPr>
        <w:t xml:space="preserve">, které jsou propojeny vzájemnými odkazy. </w:t>
      </w:r>
      <w:bookmarkStart w:id="9" w:name="_Toc289351168"/>
      <w:bookmarkStart w:id="10" w:name="_Toc289351250"/>
      <w:r w:rsidRPr="00025B12">
        <w:rPr>
          <w:rFonts w:ascii="Verdana" w:hAnsi="Verdana"/>
          <w:noProof/>
          <w:sz w:val="20"/>
          <w:szCs w:val="20"/>
        </w:rPr>
        <w:t>Aby zůstaly odkazy mezi jednotlivými soubory funkční, je třeba zachovat všechny předané soubory ve společném adresáři.</w:t>
      </w:r>
    </w:p>
    <w:p w:rsidR="000220EA" w:rsidRPr="00025B12" w:rsidRDefault="000220EA" w:rsidP="00654878">
      <w:pPr>
        <w:jc w:val="both"/>
        <w:rPr>
          <w:rFonts w:ascii="Verdana" w:hAnsi="Verdana"/>
          <w:noProof/>
          <w:sz w:val="20"/>
          <w:szCs w:val="20"/>
        </w:rPr>
      </w:pPr>
      <w:r w:rsidRPr="00025B12">
        <w:rPr>
          <w:rFonts w:ascii="Verdana" w:hAnsi="Verdana"/>
          <w:noProof/>
          <w:sz w:val="20"/>
          <w:szCs w:val="20"/>
        </w:rPr>
        <w:t>Jednotlivé soubory obsahují následující informace:</w:t>
      </w:r>
    </w:p>
    <w:p w:rsidR="000220EA" w:rsidRPr="00025B12" w:rsidRDefault="000220EA" w:rsidP="00641D19">
      <w:pPr>
        <w:numPr>
          <w:ilvl w:val="0"/>
          <w:numId w:val="39"/>
        </w:numPr>
        <w:jc w:val="both"/>
        <w:rPr>
          <w:rFonts w:ascii="Verdana" w:hAnsi="Verdana"/>
          <w:noProof/>
          <w:sz w:val="20"/>
          <w:szCs w:val="20"/>
        </w:rPr>
      </w:pPr>
      <w:r w:rsidRPr="00025B12">
        <w:rPr>
          <w:rFonts w:ascii="Verdana" w:hAnsi="Verdana"/>
          <w:b/>
          <w:noProof/>
          <w:sz w:val="20"/>
          <w:szCs w:val="20"/>
        </w:rPr>
        <w:t>S10_studie.docx</w:t>
      </w:r>
      <w:r w:rsidRPr="00025B12">
        <w:rPr>
          <w:rFonts w:ascii="Verdana" w:hAnsi="Verdana"/>
          <w:noProof/>
          <w:sz w:val="20"/>
          <w:szCs w:val="20"/>
        </w:rPr>
        <w:t xml:space="preserve"> je základním předávaným dokumentem. Obsahuje </w:t>
      </w:r>
      <w:r w:rsidR="00A0693C" w:rsidRPr="00025B12">
        <w:rPr>
          <w:rFonts w:ascii="Verdana" w:hAnsi="Verdana"/>
          <w:noProof/>
          <w:sz w:val="20"/>
          <w:szCs w:val="20"/>
        </w:rPr>
        <w:t xml:space="preserve">shrnutí </w:t>
      </w:r>
      <w:r w:rsidRPr="00025B12">
        <w:rPr>
          <w:rFonts w:ascii="Verdana" w:hAnsi="Verdana"/>
          <w:noProof/>
          <w:sz w:val="20"/>
          <w:szCs w:val="20"/>
        </w:rPr>
        <w:t>východisek</w:t>
      </w:r>
      <w:r w:rsidR="00A0693C" w:rsidRPr="00025B12">
        <w:rPr>
          <w:rFonts w:ascii="Verdana" w:hAnsi="Verdana"/>
          <w:noProof/>
          <w:sz w:val="20"/>
          <w:szCs w:val="20"/>
        </w:rPr>
        <w:t xml:space="preserve"> systému indikátorů a charakteristiku celého systému. Rozsahem největší část studie pak tvoří popis využití a metodiky výpočtu jednotlivých indikátorů.</w:t>
      </w:r>
      <w:r w:rsidR="00333E38" w:rsidRPr="00025B12">
        <w:rPr>
          <w:rFonts w:ascii="Verdana" w:hAnsi="Verdana"/>
          <w:noProof/>
          <w:sz w:val="20"/>
          <w:szCs w:val="20"/>
        </w:rPr>
        <w:t xml:space="preserve"> Součástí stejného souboru je i příloha 1 obsahující informace o zdrojích dat pro indikátory a příloha 2 obsahující definice základních pojmů a seznam zkratek.</w:t>
      </w:r>
    </w:p>
    <w:p w:rsidR="00A0693C" w:rsidRPr="00025B12" w:rsidRDefault="00D505BD" w:rsidP="00641D19">
      <w:pPr>
        <w:numPr>
          <w:ilvl w:val="0"/>
          <w:numId w:val="39"/>
        </w:numPr>
        <w:jc w:val="both"/>
        <w:rPr>
          <w:rFonts w:ascii="Verdana" w:hAnsi="Verdana"/>
          <w:noProof/>
          <w:sz w:val="20"/>
          <w:szCs w:val="20"/>
        </w:rPr>
      </w:pPr>
      <w:r w:rsidRPr="00025B12">
        <w:rPr>
          <w:rFonts w:ascii="Verdana" w:hAnsi="Verdana"/>
          <w:b/>
          <w:noProof/>
          <w:sz w:val="20"/>
          <w:szCs w:val="20"/>
        </w:rPr>
        <w:t>Priloha</w:t>
      </w:r>
      <w:r w:rsidR="007D73E6" w:rsidRPr="00025B12">
        <w:rPr>
          <w:rFonts w:ascii="Verdana" w:hAnsi="Verdana"/>
          <w:b/>
          <w:noProof/>
          <w:sz w:val="20"/>
          <w:szCs w:val="20"/>
        </w:rPr>
        <w:t>3</w:t>
      </w:r>
      <w:r w:rsidR="00A0693C" w:rsidRPr="00025B12">
        <w:rPr>
          <w:rFonts w:ascii="Verdana" w:hAnsi="Verdana"/>
          <w:b/>
          <w:noProof/>
          <w:sz w:val="20"/>
          <w:szCs w:val="20"/>
        </w:rPr>
        <w:t>_prehled indikatoru.xl</w:t>
      </w:r>
      <w:r w:rsidR="00333E38" w:rsidRPr="00025B12">
        <w:rPr>
          <w:rFonts w:ascii="Verdana" w:hAnsi="Verdana"/>
          <w:b/>
          <w:noProof/>
          <w:sz w:val="20"/>
          <w:szCs w:val="20"/>
        </w:rPr>
        <w:t>s</w:t>
      </w:r>
      <w:r w:rsidR="00A0693C" w:rsidRPr="00025B12">
        <w:rPr>
          <w:rFonts w:ascii="Verdana" w:hAnsi="Verdana"/>
          <w:b/>
          <w:noProof/>
          <w:sz w:val="20"/>
          <w:szCs w:val="20"/>
        </w:rPr>
        <w:t>x</w:t>
      </w:r>
      <w:r w:rsidR="00E9059F" w:rsidRPr="00025B12">
        <w:rPr>
          <w:rFonts w:ascii="Verdana" w:hAnsi="Verdana"/>
          <w:noProof/>
          <w:sz w:val="20"/>
          <w:szCs w:val="20"/>
        </w:rPr>
        <w:t xml:space="preserve"> </w:t>
      </w:r>
      <w:r w:rsidR="00A0693C" w:rsidRPr="00025B12">
        <w:rPr>
          <w:rFonts w:ascii="Verdana" w:hAnsi="Verdana"/>
          <w:noProof/>
          <w:sz w:val="20"/>
          <w:szCs w:val="20"/>
        </w:rPr>
        <w:t>obsahuje tabulku s přehledem všech indikátorů a jejich základních charakteristik včetně rozdělení na klíčové s doplňkové. Může sloužit jako základní soubor pro orientaci v indikátorech. U každého indikátoru je doplněn odkaz na metodiku jeho výpočtu</w:t>
      </w:r>
      <w:r w:rsidR="00CE38A3" w:rsidRPr="00025B12">
        <w:rPr>
          <w:rFonts w:ascii="Verdana" w:hAnsi="Verdana"/>
          <w:noProof/>
          <w:sz w:val="20"/>
          <w:szCs w:val="20"/>
        </w:rPr>
        <w:t xml:space="preserve"> (odkaz do souboru S10_studie) a odkaz na ukázková data pro indikátor (odkaz do souborů data_*.xlsx)</w:t>
      </w:r>
    </w:p>
    <w:p w:rsidR="00E9059F" w:rsidRPr="00025B12" w:rsidRDefault="007D73E6" w:rsidP="00641D19">
      <w:pPr>
        <w:numPr>
          <w:ilvl w:val="0"/>
          <w:numId w:val="39"/>
        </w:numPr>
        <w:jc w:val="both"/>
        <w:rPr>
          <w:rFonts w:ascii="Verdana" w:hAnsi="Verdana"/>
          <w:noProof/>
          <w:sz w:val="20"/>
          <w:szCs w:val="20"/>
        </w:rPr>
      </w:pPr>
      <w:r w:rsidRPr="00025B12">
        <w:rPr>
          <w:rFonts w:ascii="Verdana" w:hAnsi="Verdana"/>
          <w:b/>
          <w:noProof/>
          <w:sz w:val="20"/>
          <w:szCs w:val="20"/>
        </w:rPr>
        <w:t>Priloha4_</w:t>
      </w:r>
      <w:r w:rsidR="00E9059F" w:rsidRPr="00025B12">
        <w:rPr>
          <w:rFonts w:ascii="Verdana" w:hAnsi="Verdana"/>
          <w:b/>
          <w:noProof/>
          <w:sz w:val="20"/>
          <w:szCs w:val="20"/>
        </w:rPr>
        <w:t xml:space="preserve">Data_*.xlsx </w:t>
      </w:r>
      <w:r w:rsidR="00E9059F" w:rsidRPr="00025B12">
        <w:rPr>
          <w:rFonts w:ascii="Verdana" w:hAnsi="Verdana"/>
          <w:noProof/>
          <w:sz w:val="20"/>
          <w:szCs w:val="20"/>
        </w:rPr>
        <w:t>jsou</w:t>
      </w:r>
      <w:r w:rsidR="00333E38" w:rsidRPr="00025B12">
        <w:rPr>
          <w:rFonts w:ascii="Verdana" w:hAnsi="Verdana"/>
          <w:noProof/>
          <w:sz w:val="20"/>
          <w:szCs w:val="20"/>
        </w:rPr>
        <w:t xml:space="preserve"> čtyři soubory tvořící společně přílohu </w:t>
      </w:r>
      <w:r w:rsidRPr="00025B12">
        <w:rPr>
          <w:rFonts w:ascii="Verdana" w:hAnsi="Verdana"/>
          <w:noProof/>
          <w:sz w:val="20"/>
          <w:szCs w:val="20"/>
        </w:rPr>
        <w:t>4 studie S</w:t>
      </w:r>
      <w:r w:rsidR="00333E38" w:rsidRPr="00025B12">
        <w:rPr>
          <w:rFonts w:ascii="Verdana" w:hAnsi="Verdana"/>
          <w:noProof/>
          <w:sz w:val="20"/>
          <w:szCs w:val="20"/>
        </w:rPr>
        <w:t>10. Obsahují ukázková data pro jednotlivé indikátory. Je možné do nich vstupovat samostatně, pohodlnější přístup k nim ale tvoří odkazy ze souboru S10_prehled indikatoru.xlsx.</w:t>
      </w:r>
    </w:p>
    <w:p w:rsidR="00333E38" w:rsidRPr="00025B12" w:rsidRDefault="007D73E6" w:rsidP="00641D19">
      <w:pPr>
        <w:numPr>
          <w:ilvl w:val="0"/>
          <w:numId w:val="39"/>
        </w:numPr>
        <w:jc w:val="both"/>
        <w:rPr>
          <w:rFonts w:ascii="Verdana" w:hAnsi="Verdana"/>
          <w:noProof/>
          <w:sz w:val="20"/>
          <w:szCs w:val="20"/>
        </w:rPr>
      </w:pPr>
      <w:r w:rsidRPr="00025B12">
        <w:rPr>
          <w:rFonts w:ascii="Verdana" w:hAnsi="Verdana"/>
          <w:b/>
          <w:noProof/>
          <w:sz w:val="20"/>
          <w:szCs w:val="20"/>
        </w:rPr>
        <w:t>Priloha5_</w:t>
      </w:r>
      <w:r w:rsidR="00333E38" w:rsidRPr="00025B12">
        <w:rPr>
          <w:rFonts w:ascii="Verdana" w:hAnsi="Verdana"/>
          <w:b/>
          <w:noProof/>
          <w:sz w:val="20"/>
          <w:szCs w:val="20"/>
        </w:rPr>
        <w:t xml:space="preserve">Podkladova_studie_nabidka.docx </w:t>
      </w:r>
      <w:r w:rsidR="00333E38" w:rsidRPr="00025B12">
        <w:rPr>
          <w:rFonts w:ascii="Verdana" w:hAnsi="Verdana"/>
          <w:noProof/>
          <w:sz w:val="20"/>
          <w:szCs w:val="20"/>
        </w:rPr>
        <w:t xml:space="preserve">obsahuje podrobné informace o </w:t>
      </w:r>
      <w:r w:rsidR="00A94EED" w:rsidRPr="00025B12">
        <w:rPr>
          <w:rFonts w:ascii="Verdana" w:hAnsi="Verdana"/>
          <w:noProof/>
          <w:sz w:val="20"/>
          <w:szCs w:val="20"/>
        </w:rPr>
        <w:t>nově vytvořené metodice sledování nabídky dalšího neformálního vzdělávání na základě informací s inzertních databází. Zároveň obsahuje i výsledky analýz této nabídky v prvních dvou uskutečněných kolech.</w:t>
      </w:r>
    </w:p>
    <w:p w:rsidR="00C70550" w:rsidRPr="00025B12" w:rsidRDefault="00A94EED" w:rsidP="00641D19">
      <w:pPr>
        <w:numPr>
          <w:ilvl w:val="0"/>
          <w:numId w:val="39"/>
        </w:numPr>
        <w:jc w:val="both"/>
        <w:rPr>
          <w:rFonts w:ascii="Verdana" w:hAnsi="Verdana"/>
          <w:noProof/>
          <w:sz w:val="20"/>
          <w:szCs w:val="20"/>
        </w:rPr>
      </w:pPr>
      <w:r w:rsidRPr="00025B12">
        <w:rPr>
          <w:rFonts w:ascii="Verdana" w:hAnsi="Verdana"/>
          <w:b/>
          <w:noProof/>
          <w:sz w:val="20"/>
          <w:szCs w:val="20"/>
        </w:rPr>
        <w:t xml:space="preserve">Adresář </w:t>
      </w:r>
      <w:r w:rsidR="007D73E6" w:rsidRPr="00025B12">
        <w:rPr>
          <w:rFonts w:ascii="Verdana" w:hAnsi="Verdana"/>
          <w:b/>
          <w:noProof/>
          <w:sz w:val="20"/>
          <w:szCs w:val="20"/>
        </w:rPr>
        <w:t>Priloha6_</w:t>
      </w:r>
      <w:r w:rsidRPr="00025B12">
        <w:rPr>
          <w:rFonts w:ascii="Verdana" w:hAnsi="Verdana"/>
          <w:b/>
          <w:noProof/>
          <w:sz w:val="20"/>
          <w:szCs w:val="20"/>
        </w:rPr>
        <w:t xml:space="preserve">Dotazníky </w:t>
      </w:r>
      <w:r w:rsidRPr="00025B12">
        <w:rPr>
          <w:rFonts w:ascii="Verdana" w:hAnsi="Verdana"/>
          <w:noProof/>
          <w:sz w:val="20"/>
          <w:szCs w:val="20"/>
        </w:rPr>
        <w:t>obsahuje dotazníky použité při zjišťování informačních potřeb cílové skupiny vzdělavatelů</w:t>
      </w:r>
      <w:r w:rsidR="00C70550" w:rsidRPr="00025B12">
        <w:rPr>
          <w:rFonts w:ascii="Verdana" w:hAnsi="Verdana"/>
          <w:noProof/>
          <w:sz w:val="20"/>
          <w:szCs w:val="20"/>
        </w:rPr>
        <w:t xml:space="preserve"> </w:t>
      </w:r>
      <w:r w:rsidR="007D73E6" w:rsidRPr="00025B12">
        <w:rPr>
          <w:rFonts w:ascii="Verdana" w:hAnsi="Verdana"/>
          <w:noProof/>
          <w:sz w:val="20"/>
          <w:szCs w:val="20"/>
        </w:rPr>
        <w:t>(viz kapitola 3.1.1</w:t>
      </w:r>
      <w:r w:rsidR="00C70550" w:rsidRPr="00025B12">
        <w:rPr>
          <w:rFonts w:ascii="Verdana" w:hAnsi="Verdana"/>
          <w:noProof/>
          <w:sz w:val="20"/>
          <w:szCs w:val="20"/>
        </w:rPr>
        <w:t>)</w:t>
      </w:r>
      <w:r w:rsidRPr="00025B12">
        <w:rPr>
          <w:rFonts w:ascii="Verdana" w:hAnsi="Verdana"/>
          <w:noProof/>
          <w:sz w:val="20"/>
          <w:szCs w:val="20"/>
        </w:rPr>
        <w:t>.</w:t>
      </w:r>
    </w:p>
    <w:p w:rsidR="00654878" w:rsidRPr="00025B12" w:rsidRDefault="00654878" w:rsidP="00654878">
      <w:pPr>
        <w:jc w:val="both"/>
        <w:rPr>
          <w:rFonts w:ascii="Verdana" w:hAnsi="Verdana"/>
          <w:sz w:val="36"/>
          <w:szCs w:val="36"/>
        </w:rPr>
      </w:pPr>
      <w:r w:rsidRPr="00025B12">
        <w:rPr>
          <w:rFonts w:ascii="Verdana" w:hAnsi="Verdana"/>
          <w:noProof/>
          <w:sz w:val="20"/>
          <w:szCs w:val="20"/>
        </w:rPr>
        <w:br w:type="page"/>
      </w:r>
    </w:p>
    <w:p w:rsidR="0019561C" w:rsidRPr="00025B12" w:rsidRDefault="0019561C" w:rsidP="005E2CC2">
      <w:pPr>
        <w:pStyle w:val="Nadpiskonc1"/>
        <w:numPr>
          <w:ilvl w:val="0"/>
          <w:numId w:val="10"/>
        </w:numPr>
        <w:pBdr>
          <w:top w:val="single" w:sz="4" w:space="1" w:color="000000"/>
          <w:left w:val="single" w:sz="4" w:space="4" w:color="000000"/>
          <w:bottom w:val="single" w:sz="4" w:space="1" w:color="000000"/>
          <w:right w:val="single" w:sz="4" w:space="4" w:color="000000"/>
        </w:pBdr>
        <w:rPr>
          <w:rFonts w:ascii="Verdana" w:hAnsi="Verdana"/>
          <w:sz w:val="36"/>
          <w:szCs w:val="36"/>
        </w:rPr>
      </w:pPr>
      <w:bookmarkStart w:id="11" w:name="_Toc304898606"/>
      <w:r w:rsidRPr="00025B12">
        <w:rPr>
          <w:rFonts w:ascii="Verdana" w:hAnsi="Verdana"/>
          <w:sz w:val="36"/>
          <w:szCs w:val="36"/>
        </w:rPr>
        <w:t>Východiska návrhu</w:t>
      </w:r>
      <w:bookmarkEnd w:id="9"/>
      <w:bookmarkEnd w:id="10"/>
      <w:bookmarkEnd w:id="11"/>
    </w:p>
    <w:p w:rsidR="00417676" w:rsidRPr="00025B12" w:rsidRDefault="00F14C3D" w:rsidP="00417676">
      <w:pPr>
        <w:spacing w:after="0"/>
        <w:jc w:val="both"/>
        <w:rPr>
          <w:rFonts w:ascii="Verdana" w:hAnsi="Verdana"/>
          <w:noProof/>
          <w:sz w:val="20"/>
          <w:szCs w:val="20"/>
        </w:rPr>
      </w:pPr>
      <w:r w:rsidRPr="00025B12">
        <w:rPr>
          <w:rFonts w:ascii="Verdana" w:hAnsi="Verdana"/>
          <w:noProof/>
          <w:sz w:val="20"/>
          <w:szCs w:val="20"/>
        </w:rPr>
        <w:t xml:space="preserve">Návrh </w:t>
      </w:r>
      <w:r w:rsidR="003C01A3" w:rsidRPr="00025B12">
        <w:rPr>
          <w:rFonts w:ascii="Verdana" w:hAnsi="Verdana"/>
          <w:noProof/>
          <w:sz w:val="20"/>
          <w:szCs w:val="20"/>
        </w:rPr>
        <w:t>souboru</w:t>
      </w:r>
      <w:r w:rsidRPr="00025B12">
        <w:rPr>
          <w:rFonts w:ascii="Verdana" w:hAnsi="Verdana"/>
          <w:noProof/>
          <w:sz w:val="20"/>
          <w:szCs w:val="20"/>
        </w:rPr>
        <w:t xml:space="preserve"> ukazatelů respektuje několik východisek, která mapují </w:t>
      </w:r>
    </w:p>
    <w:p w:rsidR="00417676" w:rsidRPr="00025B12" w:rsidRDefault="00F14C3D" w:rsidP="00417676">
      <w:pPr>
        <w:numPr>
          <w:ilvl w:val="0"/>
          <w:numId w:val="45"/>
        </w:numPr>
        <w:spacing w:after="0"/>
        <w:jc w:val="both"/>
        <w:rPr>
          <w:rFonts w:ascii="Verdana" w:hAnsi="Verdana"/>
          <w:noProof/>
          <w:sz w:val="20"/>
          <w:szCs w:val="20"/>
        </w:rPr>
      </w:pPr>
      <w:r w:rsidRPr="00025B12">
        <w:rPr>
          <w:rFonts w:ascii="Verdana" w:hAnsi="Verdana"/>
          <w:noProof/>
          <w:sz w:val="20"/>
          <w:szCs w:val="20"/>
        </w:rPr>
        <w:t xml:space="preserve">informační potřeby cílových skupin uživatelů systému, </w:t>
      </w:r>
    </w:p>
    <w:p w:rsidR="00417676" w:rsidRPr="00025B12" w:rsidRDefault="00F14C3D" w:rsidP="00417676">
      <w:pPr>
        <w:numPr>
          <w:ilvl w:val="0"/>
          <w:numId w:val="45"/>
        </w:numPr>
        <w:spacing w:after="0"/>
        <w:jc w:val="both"/>
        <w:rPr>
          <w:rFonts w:ascii="Verdana" w:hAnsi="Verdana"/>
          <w:noProof/>
          <w:sz w:val="20"/>
          <w:szCs w:val="20"/>
        </w:rPr>
      </w:pPr>
      <w:r w:rsidRPr="00025B12">
        <w:rPr>
          <w:rFonts w:ascii="Verdana" w:hAnsi="Verdana"/>
          <w:noProof/>
          <w:sz w:val="20"/>
          <w:szCs w:val="20"/>
        </w:rPr>
        <w:t xml:space="preserve">proveditelnost a </w:t>
      </w:r>
    </w:p>
    <w:p w:rsidR="002B12AD" w:rsidRPr="00025B12" w:rsidRDefault="00F14C3D" w:rsidP="00417676">
      <w:pPr>
        <w:numPr>
          <w:ilvl w:val="0"/>
          <w:numId w:val="45"/>
        </w:numPr>
        <w:jc w:val="both"/>
        <w:rPr>
          <w:rFonts w:ascii="Verdana" w:hAnsi="Verdana"/>
          <w:noProof/>
          <w:sz w:val="20"/>
          <w:szCs w:val="20"/>
        </w:rPr>
      </w:pPr>
      <w:r w:rsidRPr="00025B12">
        <w:rPr>
          <w:rFonts w:ascii="Verdana" w:hAnsi="Verdana"/>
          <w:noProof/>
          <w:sz w:val="20"/>
          <w:szCs w:val="20"/>
        </w:rPr>
        <w:t>příklady dobré praxe, kterými je možné se inspirovat.</w:t>
      </w:r>
    </w:p>
    <w:p w:rsidR="00F14C3D" w:rsidRPr="00025B12" w:rsidRDefault="004062D7" w:rsidP="00F14C3D">
      <w:pPr>
        <w:jc w:val="both"/>
        <w:rPr>
          <w:rFonts w:ascii="Verdana" w:hAnsi="Verdana"/>
          <w:noProof/>
          <w:sz w:val="20"/>
          <w:szCs w:val="20"/>
        </w:rPr>
      </w:pPr>
      <w:r w:rsidRPr="00025B12">
        <w:rPr>
          <w:rFonts w:ascii="Verdana" w:hAnsi="Verdana"/>
          <w:b/>
          <w:noProof/>
          <w:sz w:val="20"/>
          <w:szCs w:val="20"/>
        </w:rPr>
        <w:t>Potřeby uživatelů</w:t>
      </w:r>
      <w:r w:rsidRPr="00025B12">
        <w:rPr>
          <w:rFonts w:ascii="Verdana" w:hAnsi="Verdana"/>
          <w:noProof/>
          <w:sz w:val="20"/>
          <w:szCs w:val="20"/>
        </w:rPr>
        <w:t xml:space="preserve"> </w:t>
      </w:r>
      <w:r w:rsidR="00417676" w:rsidRPr="00025B12">
        <w:rPr>
          <w:rFonts w:ascii="Verdana" w:hAnsi="Verdana"/>
          <w:noProof/>
          <w:sz w:val="20"/>
          <w:szCs w:val="20"/>
        </w:rPr>
        <w:t>slouží jako hlavní kritérium pro finální výběr indikátorů. B</w:t>
      </w:r>
      <w:r w:rsidRPr="00025B12">
        <w:rPr>
          <w:rFonts w:ascii="Verdana" w:hAnsi="Verdana"/>
          <w:noProof/>
          <w:sz w:val="20"/>
          <w:szCs w:val="20"/>
        </w:rPr>
        <w:t>yly sledovány prostřednictvím anketního šetření</w:t>
      </w:r>
      <w:r w:rsidR="00D505BD" w:rsidRPr="00025B12">
        <w:rPr>
          <w:rFonts w:ascii="Verdana" w:hAnsi="Verdana"/>
          <w:noProof/>
          <w:sz w:val="20"/>
          <w:szCs w:val="20"/>
        </w:rPr>
        <w:t xml:space="preserve"> (pro cílovou skupiny vzdělavatelů)</w:t>
      </w:r>
      <w:r w:rsidR="00447CF6" w:rsidRPr="00025B12">
        <w:rPr>
          <w:rFonts w:ascii="Verdana" w:hAnsi="Verdana"/>
          <w:noProof/>
          <w:sz w:val="20"/>
          <w:szCs w:val="20"/>
        </w:rPr>
        <w:t>, dále pak prostřednictvím workshopů a shromáždění expertních připomínek k předběžným návrhům</w:t>
      </w:r>
      <w:r w:rsidR="00D505BD" w:rsidRPr="00025B12">
        <w:rPr>
          <w:rFonts w:ascii="Verdana" w:hAnsi="Verdana"/>
          <w:noProof/>
          <w:sz w:val="20"/>
          <w:szCs w:val="20"/>
        </w:rPr>
        <w:t xml:space="preserve"> (cílová skupina decizní sféry)</w:t>
      </w:r>
      <w:r w:rsidR="00447CF6" w:rsidRPr="00025B12">
        <w:rPr>
          <w:rFonts w:ascii="Verdana" w:hAnsi="Verdana"/>
          <w:noProof/>
          <w:sz w:val="20"/>
          <w:szCs w:val="20"/>
        </w:rPr>
        <w:t xml:space="preserve">. </w:t>
      </w:r>
    </w:p>
    <w:p w:rsidR="004062D7" w:rsidRPr="00025B12" w:rsidRDefault="004062D7" w:rsidP="00F14C3D">
      <w:pPr>
        <w:jc w:val="both"/>
        <w:rPr>
          <w:rFonts w:ascii="Verdana" w:hAnsi="Verdana"/>
          <w:noProof/>
          <w:sz w:val="20"/>
          <w:szCs w:val="20"/>
        </w:rPr>
      </w:pPr>
      <w:r w:rsidRPr="00025B12">
        <w:rPr>
          <w:rFonts w:ascii="Verdana" w:hAnsi="Verdana"/>
          <w:noProof/>
          <w:sz w:val="20"/>
          <w:szCs w:val="20"/>
        </w:rPr>
        <w:t xml:space="preserve">Vyhodnocení </w:t>
      </w:r>
      <w:r w:rsidRPr="00025B12">
        <w:rPr>
          <w:rFonts w:ascii="Verdana" w:hAnsi="Verdana"/>
          <w:b/>
          <w:noProof/>
          <w:sz w:val="20"/>
          <w:szCs w:val="20"/>
        </w:rPr>
        <w:t xml:space="preserve">proveditelnost </w:t>
      </w:r>
      <w:r w:rsidR="007C2910" w:rsidRPr="00025B12">
        <w:rPr>
          <w:rFonts w:ascii="Verdana" w:hAnsi="Verdana"/>
          <w:b/>
          <w:noProof/>
          <w:sz w:val="20"/>
          <w:szCs w:val="20"/>
        </w:rPr>
        <w:t>návrhu</w:t>
      </w:r>
      <w:r w:rsidR="007C2910" w:rsidRPr="00025B12">
        <w:rPr>
          <w:rFonts w:ascii="Verdana" w:hAnsi="Verdana"/>
          <w:noProof/>
          <w:sz w:val="20"/>
          <w:szCs w:val="20"/>
        </w:rPr>
        <w:t xml:space="preserve"> </w:t>
      </w:r>
      <w:r w:rsidRPr="00025B12">
        <w:rPr>
          <w:rFonts w:ascii="Verdana" w:hAnsi="Verdana"/>
          <w:noProof/>
          <w:sz w:val="20"/>
          <w:szCs w:val="20"/>
        </w:rPr>
        <w:t xml:space="preserve">systému indikátorů vychází z analýzy informačních zdrojů, která byla </w:t>
      </w:r>
      <w:r w:rsidR="007C2910" w:rsidRPr="00025B12">
        <w:rPr>
          <w:rFonts w:ascii="Verdana" w:hAnsi="Verdana"/>
          <w:noProof/>
          <w:sz w:val="20"/>
          <w:szCs w:val="20"/>
        </w:rPr>
        <w:t>zpracována</w:t>
      </w:r>
      <w:r w:rsidRPr="00025B12">
        <w:rPr>
          <w:rFonts w:ascii="Verdana" w:hAnsi="Verdana"/>
          <w:noProof/>
          <w:sz w:val="20"/>
          <w:szCs w:val="20"/>
        </w:rPr>
        <w:t xml:space="preserve"> v rámci aktivity 3A. Neznamená to, že by systém striktně počítal pouze s existujícími informačními zdroji, v některých případech obsahuje i indikátory, pro které nejsou v</w:t>
      </w:r>
      <w:r w:rsidR="003C01A3" w:rsidRPr="00025B12">
        <w:rPr>
          <w:rFonts w:ascii="Verdana" w:hAnsi="Verdana"/>
          <w:noProof/>
          <w:sz w:val="20"/>
          <w:szCs w:val="20"/>
        </w:rPr>
        <w:t> současné době data zveřejňována</w:t>
      </w:r>
      <w:r w:rsidRPr="00025B12">
        <w:rPr>
          <w:rFonts w:ascii="Verdana" w:hAnsi="Verdana"/>
          <w:noProof/>
          <w:sz w:val="20"/>
          <w:szCs w:val="20"/>
        </w:rPr>
        <w:t xml:space="preserve"> či vůbec sbírán</w:t>
      </w:r>
      <w:r w:rsidR="003C01A3" w:rsidRPr="00025B12">
        <w:rPr>
          <w:rFonts w:ascii="Verdana" w:hAnsi="Verdana"/>
          <w:noProof/>
          <w:sz w:val="20"/>
          <w:szCs w:val="20"/>
        </w:rPr>
        <w:t>a</w:t>
      </w:r>
      <w:r w:rsidRPr="00025B12">
        <w:rPr>
          <w:rFonts w:ascii="Verdana" w:hAnsi="Verdana"/>
          <w:noProof/>
          <w:sz w:val="20"/>
          <w:szCs w:val="20"/>
        </w:rPr>
        <w:t xml:space="preserve"> a jedním z výstupů systému bude i návrh na úpravu či doplnění současných informačních zdrojů. Přesto tvoří současné informační zdroje důležité východisko a návrh je optimalizován tak, aby byly existující zdroje využívány v maximální možné míře a doplňovány pouze v nutných případech.</w:t>
      </w:r>
    </w:p>
    <w:p w:rsidR="004062D7" w:rsidRPr="00025B12" w:rsidRDefault="004062D7" w:rsidP="00F14C3D">
      <w:pPr>
        <w:jc w:val="both"/>
        <w:rPr>
          <w:rFonts w:ascii="Verdana" w:hAnsi="Verdana"/>
          <w:noProof/>
          <w:sz w:val="20"/>
          <w:szCs w:val="20"/>
        </w:rPr>
      </w:pPr>
      <w:r w:rsidRPr="00025B12">
        <w:rPr>
          <w:rFonts w:ascii="Verdana" w:hAnsi="Verdana"/>
          <w:noProof/>
          <w:sz w:val="20"/>
          <w:szCs w:val="20"/>
        </w:rPr>
        <w:t xml:space="preserve">Neméně důležitým východiskem jsou </w:t>
      </w:r>
      <w:r w:rsidRPr="00025B12">
        <w:rPr>
          <w:rFonts w:ascii="Verdana" w:hAnsi="Verdana"/>
          <w:b/>
          <w:noProof/>
          <w:sz w:val="20"/>
          <w:szCs w:val="20"/>
        </w:rPr>
        <w:t>zkušenosti</w:t>
      </w:r>
      <w:r w:rsidRPr="00025B12">
        <w:rPr>
          <w:rFonts w:ascii="Verdana" w:hAnsi="Verdana"/>
          <w:noProof/>
          <w:sz w:val="20"/>
          <w:szCs w:val="20"/>
        </w:rPr>
        <w:t>, které již byly v monitoringu dalšího vzdělávání získány jak v České republice, tak v zahraničí či na mezinárodní úrovni.</w:t>
      </w:r>
    </w:p>
    <w:p w:rsidR="00447CF6" w:rsidRPr="00025B12" w:rsidRDefault="00EE65D3" w:rsidP="005E2CC2">
      <w:pPr>
        <w:pStyle w:val="Nadpiskonc2"/>
        <w:numPr>
          <w:ilvl w:val="1"/>
          <w:numId w:val="10"/>
        </w:numPr>
        <w:rPr>
          <w:rFonts w:ascii="Verdana" w:hAnsi="Verdana"/>
          <w:caps/>
        </w:rPr>
      </w:pPr>
      <w:bookmarkStart w:id="12" w:name="_Toc304898607"/>
      <w:bookmarkStart w:id="13" w:name="_Toc289351169"/>
      <w:bookmarkStart w:id="14" w:name="_Toc289351251"/>
      <w:r w:rsidRPr="00025B12">
        <w:rPr>
          <w:rFonts w:ascii="Verdana" w:hAnsi="Verdana"/>
          <w:caps/>
        </w:rPr>
        <w:t>potřeby uživatelů</w:t>
      </w:r>
      <w:bookmarkEnd w:id="12"/>
    </w:p>
    <w:p w:rsidR="0019561C" w:rsidRPr="00025B12" w:rsidRDefault="00447CF6" w:rsidP="00447CF6">
      <w:pPr>
        <w:pStyle w:val="nadkonc3"/>
        <w:numPr>
          <w:ilvl w:val="2"/>
          <w:numId w:val="10"/>
        </w:numPr>
        <w:rPr>
          <w:caps/>
        </w:rPr>
      </w:pPr>
      <w:bookmarkStart w:id="15" w:name="_Toc304898608"/>
      <w:bookmarkEnd w:id="13"/>
      <w:bookmarkEnd w:id="14"/>
      <w:r w:rsidRPr="00025B12">
        <w:rPr>
          <w:caps/>
        </w:rPr>
        <w:t>Výsledky ankety mezi vzdělavateli</w:t>
      </w:r>
      <w:bookmarkEnd w:id="15"/>
    </w:p>
    <w:p w:rsidR="00026CCA" w:rsidRPr="00025B12" w:rsidRDefault="00026CCA" w:rsidP="00026CCA">
      <w:pPr>
        <w:jc w:val="both"/>
        <w:rPr>
          <w:rFonts w:ascii="Verdana" w:hAnsi="Verdana"/>
          <w:noProof/>
          <w:sz w:val="20"/>
          <w:szCs w:val="20"/>
        </w:rPr>
      </w:pPr>
      <w:r w:rsidRPr="00025B12">
        <w:rPr>
          <w:rFonts w:ascii="Verdana" w:hAnsi="Verdana"/>
          <w:noProof/>
          <w:sz w:val="20"/>
          <w:szCs w:val="20"/>
        </w:rPr>
        <w:t>Anketa provedená v rámci aktivity III.B – Vytvoření komplexního systému ukazatelů o dalším vzdělávání se zaměřila na zjišťování potřeb informací o dalším vzdělávání u poskytovatelů dalšího vzdělávání, a to jak veřejných (SŠ, VOŠ, VŠ), tak soukromých. Terénní část ankety probíhala souběžně s dotazníkovým šetřením vzdělavatelů v části Slaďování dalšího vzdělávání s potřebami trhu práce.</w:t>
      </w:r>
    </w:p>
    <w:p w:rsidR="00026CCA" w:rsidRPr="00025B12" w:rsidRDefault="00026CCA" w:rsidP="004B01CA">
      <w:pPr>
        <w:jc w:val="both"/>
        <w:rPr>
          <w:rFonts w:ascii="Verdana" w:hAnsi="Verdana"/>
          <w:b/>
          <w:noProof/>
          <w:sz w:val="24"/>
          <w:szCs w:val="24"/>
          <w:lang w:eastAsia="cs-CZ"/>
        </w:rPr>
      </w:pPr>
      <w:bookmarkStart w:id="16" w:name="_Toc289351170"/>
      <w:bookmarkStart w:id="17" w:name="_Toc289351252"/>
      <w:r w:rsidRPr="00025B12">
        <w:rPr>
          <w:rFonts w:ascii="Verdana" w:hAnsi="Verdana"/>
          <w:b/>
          <w:noProof/>
          <w:sz w:val="24"/>
          <w:szCs w:val="24"/>
          <w:lang w:eastAsia="cs-CZ"/>
        </w:rPr>
        <w:t>Metodika ankety</w:t>
      </w:r>
      <w:bookmarkEnd w:id="16"/>
      <w:bookmarkEnd w:id="17"/>
      <w:r w:rsidRPr="00025B12">
        <w:rPr>
          <w:rFonts w:ascii="Verdana" w:hAnsi="Verdana"/>
          <w:b/>
          <w:noProof/>
          <w:sz w:val="24"/>
          <w:szCs w:val="24"/>
          <w:lang w:eastAsia="cs-CZ"/>
        </w:rPr>
        <w:t xml:space="preserve"> </w:t>
      </w:r>
    </w:p>
    <w:p w:rsidR="00026CCA" w:rsidRPr="00025B12" w:rsidRDefault="00026CCA" w:rsidP="000C6631">
      <w:pPr>
        <w:pStyle w:val="Nadpis11"/>
        <w:outlineLvl w:val="0"/>
        <w:rPr>
          <w:i/>
          <w:sz w:val="20"/>
          <w:szCs w:val="20"/>
          <w:u w:val="single"/>
        </w:rPr>
      </w:pPr>
      <w:r w:rsidRPr="00025B12">
        <w:rPr>
          <w:i/>
          <w:sz w:val="20"/>
          <w:szCs w:val="20"/>
          <w:u w:val="single"/>
        </w:rPr>
        <w:t>Dotazník</w:t>
      </w:r>
    </w:p>
    <w:p w:rsidR="00026CCA" w:rsidRPr="00025B12" w:rsidRDefault="00026CCA" w:rsidP="004B01CA">
      <w:pPr>
        <w:spacing w:after="0"/>
        <w:rPr>
          <w:rFonts w:ascii="Verdana" w:hAnsi="Verdana"/>
          <w:sz w:val="20"/>
          <w:szCs w:val="20"/>
        </w:rPr>
      </w:pPr>
      <w:r w:rsidRPr="00025B12">
        <w:rPr>
          <w:rFonts w:ascii="Verdana" w:hAnsi="Verdana"/>
          <w:sz w:val="20"/>
          <w:szCs w:val="20"/>
        </w:rPr>
        <w:t>D</w:t>
      </w:r>
      <w:r w:rsidR="00B16721" w:rsidRPr="00025B12">
        <w:rPr>
          <w:rFonts w:ascii="Verdana" w:hAnsi="Verdana"/>
          <w:sz w:val="20"/>
          <w:szCs w:val="20"/>
        </w:rPr>
        <w:t>otazník použitý v anketě měl dvě</w:t>
      </w:r>
      <w:r w:rsidRPr="00025B12">
        <w:rPr>
          <w:rFonts w:ascii="Verdana" w:hAnsi="Verdana"/>
          <w:sz w:val="20"/>
          <w:szCs w:val="20"/>
        </w:rPr>
        <w:t xml:space="preserve"> podoby:</w:t>
      </w:r>
    </w:p>
    <w:p w:rsidR="00026CCA" w:rsidRPr="00025B12" w:rsidRDefault="00026CCA" w:rsidP="004B01CA">
      <w:pPr>
        <w:numPr>
          <w:ilvl w:val="0"/>
          <w:numId w:val="2"/>
        </w:numPr>
        <w:spacing w:after="0"/>
        <w:rPr>
          <w:rFonts w:ascii="Verdana" w:hAnsi="Verdana"/>
          <w:sz w:val="20"/>
          <w:szCs w:val="20"/>
        </w:rPr>
      </w:pPr>
      <w:r w:rsidRPr="00025B12">
        <w:rPr>
          <w:rFonts w:ascii="Verdana" w:hAnsi="Verdana"/>
          <w:sz w:val="20"/>
          <w:szCs w:val="20"/>
        </w:rPr>
        <w:t xml:space="preserve">varianta </w:t>
      </w:r>
      <w:r w:rsidR="00B16721" w:rsidRPr="00025B12">
        <w:rPr>
          <w:rFonts w:ascii="Verdana" w:hAnsi="Verdana"/>
          <w:sz w:val="20"/>
          <w:szCs w:val="20"/>
        </w:rPr>
        <w:t>školy</w:t>
      </w:r>
      <w:r w:rsidR="00CF3559" w:rsidRPr="00025B12">
        <w:rPr>
          <w:rFonts w:ascii="Verdana" w:hAnsi="Verdana"/>
          <w:sz w:val="20"/>
          <w:szCs w:val="20"/>
        </w:rPr>
        <w:t xml:space="preserve"> </w:t>
      </w:r>
      <w:r w:rsidR="00B16721" w:rsidRPr="00025B12">
        <w:rPr>
          <w:rFonts w:ascii="Verdana" w:hAnsi="Verdana"/>
          <w:sz w:val="20"/>
          <w:szCs w:val="20"/>
        </w:rPr>
        <w:t>(VŠ, SŠ, VOŠ)</w:t>
      </w:r>
      <w:r w:rsidRPr="00025B12">
        <w:rPr>
          <w:rFonts w:ascii="Verdana" w:hAnsi="Verdana"/>
          <w:sz w:val="20"/>
          <w:szCs w:val="20"/>
        </w:rPr>
        <w:t xml:space="preserve"> - forma Excel</w:t>
      </w:r>
    </w:p>
    <w:p w:rsidR="00026CCA" w:rsidRPr="00025B12" w:rsidRDefault="00026CCA" w:rsidP="004B01CA">
      <w:pPr>
        <w:numPr>
          <w:ilvl w:val="0"/>
          <w:numId w:val="2"/>
        </w:numPr>
        <w:spacing w:after="0"/>
        <w:rPr>
          <w:rFonts w:ascii="Verdana" w:hAnsi="Verdana"/>
          <w:sz w:val="20"/>
          <w:szCs w:val="20"/>
        </w:rPr>
      </w:pPr>
      <w:r w:rsidRPr="00025B12">
        <w:rPr>
          <w:rFonts w:ascii="Verdana" w:hAnsi="Verdana"/>
          <w:sz w:val="20"/>
          <w:szCs w:val="20"/>
        </w:rPr>
        <w:t>varianta soukromí vzdělavatelé - forma online</w:t>
      </w:r>
    </w:p>
    <w:p w:rsidR="00CE7601" w:rsidRPr="00025B12" w:rsidRDefault="00CE7601" w:rsidP="00CE7601">
      <w:pPr>
        <w:rPr>
          <w:rFonts w:ascii="Verdana" w:hAnsi="Verdana"/>
          <w:sz w:val="20"/>
          <w:szCs w:val="20"/>
        </w:rPr>
      </w:pPr>
      <w:r w:rsidRPr="00025B12">
        <w:rPr>
          <w:rFonts w:ascii="Verdana" w:hAnsi="Verdana"/>
          <w:sz w:val="20"/>
          <w:szCs w:val="20"/>
        </w:rPr>
        <w:t>Obě va</w:t>
      </w:r>
      <w:r w:rsidR="00142B90" w:rsidRPr="00025B12">
        <w:rPr>
          <w:rFonts w:ascii="Verdana" w:hAnsi="Verdana"/>
          <w:sz w:val="20"/>
          <w:szCs w:val="20"/>
        </w:rPr>
        <w:t>rianty dotazníku tvoří přílohu 6</w:t>
      </w:r>
      <w:r w:rsidRPr="00025B12">
        <w:rPr>
          <w:rFonts w:ascii="Verdana" w:hAnsi="Verdana"/>
          <w:sz w:val="20"/>
          <w:szCs w:val="20"/>
        </w:rPr>
        <w:t>.</w:t>
      </w:r>
    </w:p>
    <w:p w:rsidR="00026CCA" w:rsidRPr="00025B12" w:rsidRDefault="00026CCA" w:rsidP="000C6631">
      <w:pPr>
        <w:pStyle w:val="Nadpis11"/>
        <w:outlineLvl w:val="0"/>
        <w:rPr>
          <w:i/>
          <w:sz w:val="20"/>
          <w:szCs w:val="20"/>
          <w:u w:val="single"/>
        </w:rPr>
      </w:pPr>
      <w:bookmarkStart w:id="18" w:name="_Toc287609023"/>
      <w:r w:rsidRPr="00025B12">
        <w:rPr>
          <w:i/>
          <w:sz w:val="20"/>
          <w:szCs w:val="20"/>
          <w:u w:val="single"/>
        </w:rPr>
        <w:t>Databáze kontaktů na cílové skupiny:</w:t>
      </w:r>
      <w:bookmarkEnd w:id="18"/>
      <w:r w:rsidRPr="00025B12">
        <w:rPr>
          <w:i/>
          <w:sz w:val="20"/>
          <w:szCs w:val="20"/>
          <w:u w:val="single"/>
        </w:rPr>
        <w:t xml:space="preserve"> </w:t>
      </w:r>
    </w:p>
    <w:p w:rsidR="00026CCA" w:rsidRPr="00025B12" w:rsidRDefault="00CE7601" w:rsidP="00026CCA">
      <w:pPr>
        <w:ind w:left="720"/>
        <w:rPr>
          <w:rFonts w:ascii="Verdana" w:hAnsi="Verdana"/>
          <w:sz w:val="20"/>
          <w:szCs w:val="20"/>
          <w:u w:val="single"/>
        </w:rPr>
      </w:pPr>
      <w:r w:rsidRPr="00025B12">
        <w:rPr>
          <w:rFonts w:ascii="Verdana" w:hAnsi="Verdana"/>
          <w:sz w:val="20"/>
          <w:szCs w:val="20"/>
        </w:rPr>
        <w:t>Byly použity kontakty ze 4 základních zdrojů:</w:t>
      </w:r>
    </w:p>
    <w:p w:rsidR="00026CCA" w:rsidRPr="00025B12" w:rsidRDefault="00026CCA" w:rsidP="004B01CA">
      <w:pPr>
        <w:spacing w:after="0"/>
        <w:ind w:left="360"/>
        <w:outlineLvl w:val="0"/>
        <w:rPr>
          <w:rFonts w:ascii="Verdana" w:hAnsi="Verdana"/>
          <w:sz w:val="20"/>
          <w:szCs w:val="20"/>
        </w:rPr>
      </w:pPr>
      <w:r w:rsidRPr="00025B12">
        <w:rPr>
          <w:rFonts w:ascii="Verdana" w:hAnsi="Verdana"/>
          <w:b/>
          <w:sz w:val="20"/>
          <w:szCs w:val="20"/>
        </w:rPr>
        <w:t>1.</w:t>
      </w:r>
      <w:r w:rsidRPr="00025B12">
        <w:rPr>
          <w:rFonts w:ascii="Verdana" w:hAnsi="Verdana"/>
          <w:b/>
          <w:sz w:val="20"/>
          <w:szCs w:val="20"/>
        </w:rPr>
        <w:tab/>
        <w:t xml:space="preserve">Školy zapojené do projektu UNIV 2 Kraje </w:t>
      </w:r>
      <w:r w:rsidRPr="00025B12">
        <w:rPr>
          <w:rFonts w:ascii="Verdana" w:hAnsi="Verdana"/>
          <w:sz w:val="20"/>
          <w:szCs w:val="20"/>
        </w:rPr>
        <w:t xml:space="preserve">– SŠ, VOŠ </w:t>
      </w:r>
    </w:p>
    <w:p w:rsidR="00026CCA" w:rsidRPr="00025B12" w:rsidRDefault="00026CCA" w:rsidP="004B01CA">
      <w:pPr>
        <w:spacing w:after="0"/>
        <w:ind w:left="720"/>
        <w:rPr>
          <w:rFonts w:ascii="Verdana" w:hAnsi="Verdana"/>
          <w:sz w:val="20"/>
          <w:szCs w:val="20"/>
        </w:rPr>
      </w:pPr>
      <w:r w:rsidRPr="00025B12">
        <w:rPr>
          <w:rFonts w:ascii="Verdana" w:hAnsi="Verdana"/>
          <w:sz w:val="20"/>
          <w:szCs w:val="20"/>
        </w:rPr>
        <w:t xml:space="preserve">Osloveno bylo 55 škol. </w:t>
      </w:r>
    </w:p>
    <w:p w:rsidR="00026CCA" w:rsidRPr="00025B12" w:rsidRDefault="00026CCA" w:rsidP="004B01CA">
      <w:pPr>
        <w:spacing w:after="0"/>
        <w:ind w:left="360"/>
        <w:outlineLvl w:val="0"/>
        <w:rPr>
          <w:rFonts w:ascii="Verdana" w:hAnsi="Verdana"/>
          <w:sz w:val="20"/>
          <w:szCs w:val="20"/>
        </w:rPr>
      </w:pPr>
      <w:r w:rsidRPr="00025B12">
        <w:rPr>
          <w:rFonts w:ascii="Verdana" w:hAnsi="Verdana"/>
          <w:b/>
          <w:sz w:val="20"/>
          <w:szCs w:val="20"/>
        </w:rPr>
        <w:lastRenderedPageBreak/>
        <w:t>2.</w:t>
      </w:r>
      <w:r w:rsidRPr="00025B12">
        <w:rPr>
          <w:rFonts w:ascii="Verdana" w:hAnsi="Verdana"/>
          <w:b/>
          <w:sz w:val="20"/>
          <w:szCs w:val="20"/>
        </w:rPr>
        <w:tab/>
        <w:t>Databáze VOŠ</w:t>
      </w:r>
      <w:r w:rsidRPr="00025B12">
        <w:rPr>
          <w:rFonts w:ascii="Verdana" w:hAnsi="Verdana"/>
          <w:sz w:val="20"/>
          <w:szCs w:val="20"/>
        </w:rPr>
        <w:t xml:space="preserve"> – VOŠ (mimo školy zapojené do projektů UNIV2)</w:t>
      </w:r>
    </w:p>
    <w:p w:rsidR="00026CCA" w:rsidRPr="00025B12" w:rsidRDefault="00026CCA" w:rsidP="004B01CA">
      <w:pPr>
        <w:spacing w:after="0"/>
        <w:ind w:left="720"/>
        <w:rPr>
          <w:rFonts w:ascii="Verdana" w:hAnsi="Verdana"/>
          <w:sz w:val="20"/>
          <w:szCs w:val="20"/>
        </w:rPr>
      </w:pPr>
      <w:r w:rsidRPr="00025B12">
        <w:rPr>
          <w:rFonts w:ascii="Verdana" w:hAnsi="Verdana"/>
          <w:sz w:val="20"/>
          <w:szCs w:val="20"/>
        </w:rPr>
        <w:t>Základním zdrojem byla databáze kontaktů získaná od Sdružení profesního terciárního vzdělávání.  Byly vyřazeny školy, které již obdržely dotazník přes UNIV 2 Kraje. Rozesláno bylo 20 dotazníků Monitoringu.</w:t>
      </w:r>
    </w:p>
    <w:p w:rsidR="00026CCA" w:rsidRPr="00025B12" w:rsidRDefault="00026CCA" w:rsidP="004B01CA">
      <w:pPr>
        <w:spacing w:after="0"/>
        <w:ind w:left="360"/>
        <w:outlineLvl w:val="0"/>
        <w:rPr>
          <w:rFonts w:ascii="Verdana" w:hAnsi="Verdana"/>
          <w:sz w:val="20"/>
          <w:szCs w:val="20"/>
        </w:rPr>
      </w:pPr>
      <w:r w:rsidRPr="00025B12">
        <w:rPr>
          <w:rFonts w:ascii="Verdana" w:hAnsi="Verdana"/>
          <w:b/>
          <w:sz w:val="20"/>
          <w:szCs w:val="20"/>
        </w:rPr>
        <w:t>3.</w:t>
      </w:r>
      <w:r w:rsidRPr="00025B12">
        <w:rPr>
          <w:rFonts w:ascii="Verdana" w:hAnsi="Verdana"/>
          <w:b/>
          <w:sz w:val="20"/>
          <w:szCs w:val="20"/>
        </w:rPr>
        <w:tab/>
        <w:t>Databáze DAT.cz</w:t>
      </w:r>
      <w:r w:rsidRPr="00025B12">
        <w:rPr>
          <w:rFonts w:ascii="Verdana" w:hAnsi="Verdana"/>
          <w:sz w:val="20"/>
          <w:szCs w:val="20"/>
        </w:rPr>
        <w:t xml:space="preserve"> – soukromí vzdělavatelé</w:t>
      </w:r>
    </w:p>
    <w:p w:rsidR="00026CCA" w:rsidRPr="00025B12" w:rsidRDefault="00026CCA" w:rsidP="004B01CA">
      <w:pPr>
        <w:spacing w:after="0"/>
        <w:ind w:left="720"/>
        <w:rPr>
          <w:rFonts w:ascii="Verdana" w:hAnsi="Verdana"/>
          <w:sz w:val="20"/>
          <w:szCs w:val="20"/>
        </w:rPr>
      </w:pPr>
      <w:r w:rsidRPr="00025B12">
        <w:rPr>
          <w:rFonts w:ascii="Verdana" w:hAnsi="Verdana"/>
          <w:sz w:val="20"/>
          <w:szCs w:val="20"/>
        </w:rPr>
        <w:t xml:space="preserve">Výzva k vyplnění online dotazníku Monitoring byla rozeslána 87 soukromým vzdělavatelům. </w:t>
      </w:r>
    </w:p>
    <w:p w:rsidR="00A57079" w:rsidRPr="00025B12" w:rsidRDefault="00A57079" w:rsidP="004B01CA">
      <w:pPr>
        <w:spacing w:after="0"/>
        <w:ind w:left="426"/>
        <w:outlineLvl w:val="0"/>
        <w:rPr>
          <w:rFonts w:ascii="Verdana" w:hAnsi="Verdana"/>
          <w:sz w:val="20"/>
          <w:szCs w:val="20"/>
        </w:rPr>
      </w:pPr>
      <w:r w:rsidRPr="00025B12">
        <w:rPr>
          <w:rFonts w:ascii="Verdana" w:hAnsi="Verdana"/>
          <w:b/>
          <w:sz w:val="20"/>
          <w:szCs w:val="20"/>
        </w:rPr>
        <w:t xml:space="preserve">4. </w:t>
      </w:r>
      <w:r w:rsidR="00026CCA" w:rsidRPr="00025B12">
        <w:rPr>
          <w:rFonts w:ascii="Verdana" w:hAnsi="Verdana"/>
          <w:b/>
          <w:sz w:val="20"/>
          <w:szCs w:val="20"/>
        </w:rPr>
        <w:t xml:space="preserve">Databáze VŠ </w:t>
      </w:r>
      <w:r w:rsidR="00026CCA" w:rsidRPr="00025B12">
        <w:rPr>
          <w:rFonts w:ascii="Verdana" w:hAnsi="Verdana"/>
          <w:sz w:val="20"/>
          <w:szCs w:val="20"/>
        </w:rPr>
        <w:t>– seznam veřejných a soukromých vysokých škol z</w:t>
      </w:r>
      <w:r w:rsidRPr="00025B12">
        <w:rPr>
          <w:rFonts w:ascii="Verdana" w:hAnsi="Verdana"/>
          <w:sz w:val="20"/>
          <w:szCs w:val="20"/>
        </w:rPr>
        <w:t> </w:t>
      </w:r>
      <w:r w:rsidR="00026CCA" w:rsidRPr="00025B12">
        <w:rPr>
          <w:rFonts w:ascii="Verdana" w:hAnsi="Verdana"/>
          <w:sz w:val="20"/>
          <w:szCs w:val="20"/>
        </w:rPr>
        <w:t>MŠMT</w:t>
      </w:r>
    </w:p>
    <w:p w:rsidR="00026CCA" w:rsidRPr="00025B12" w:rsidRDefault="00A57079" w:rsidP="00A57079">
      <w:pPr>
        <w:ind w:left="720"/>
        <w:rPr>
          <w:rFonts w:ascii="Verdana" w:hAnsi="Verdana"/>
          <w:sz w:val="20"/>
          <w:szCs w:val="20"/>
        </w:rPr>
      </w:pPr>
      <w:r w:rsidRPr="00025B12">
        <w:rPr>
          <w:rFonts w:ascii="Verdana" w:hAnsi="Verdana"/>
          <w:sz w:val="20"/>
          <w:szCs w:val="20"/>
        </w:rPr>
        <w:t>K</w:t>
      </w:r>
      <w:r w:rsidR="00026CCA" w:rsidRPr="00025B12">
        <w:rPr>
          <w:rFonts w:ascii="Verdana" w:hAnsi="Verdana"/>
          <w:sz w:val="20"/>
          <w:szCs w:val="20"/>
        </w:rPr>
        <w:t xml:space="preserve">onkrétní kontakty vyhledávány na webových stránkách jednotlivých vysokých škol (resp. jejich fakult). Rozesláno bylo 30 dotazníků </w:t>
      </w:r>
    </w:p>
    <w:p w:rsidR="00026CCA" w:rsidRPr="00025B12" w:rsidRDefault="00026CCA" w:rsidP="000C6631">
      <w:pPr>
        <w:pStyle w:val="Nadpis11"/>
        <w:outlineLvl w:val="0"/>
        <w:rPr>
          <w:i/>
          <w:sz w:val="20"/>
          <w:szCs w:val="20"/>
          <w:u w:val="single"/>
        </w:rPr>
      </w:pPr>
      <w:bookmarkStart w:id="19" w:name="_Toc287609024"/>
      <w:r w:rsidRPr="00025B12">
        <w:rPr>
          <w:i/>
          <w:sz w:val="20"/>
          <w:szCs w:val="20"/>
          <w:u w:val="single"/>
        </w:rPr>
        <w:t>Přehled o výběrovém souboru</w:t>
      </w:r>
      <w:bookmarkEnd w:id="19"/>
    </w:p>
    <w:p w:rsidR="00026CCA" w:rsidRPr="00025B12" w:rsidRDefault="00026CCA" w:rsidP="00026CCA">
      <w:pPr>
        <w:ind w:left="360"/>
        <w:jc w:val="both"/>
        <w:rPr>
          <w:rFonts w:ascii="Verdana" w:hAnsi="Verdana"/>
          <w:sz w:val="20"/>
          <w:szCs w:val="20"/>
        </w:rPr>
      </w:pPr>
      <w:r w:rsidRPr="00025B12">
        <w:rPr>
          <w:rFonts w:ascii="Verdana" w:hAnsi="Verdana"/>
          <w:sz w:val="20"/>
          <w:szCs w:val="20"/>
        </w:rPr>
        <w:t xml:space="preserve">Souhrnný přehled o dosud realizovaných šetřeních a návratnosti dotazníků ukazuje tabulka: </w:t>
      </w:r>
    </w:p>
    <w:p w:rsidR="00AC60CA" w:rsidRPr="00025B12" w:rsidRDefault="00AC60CA" w:rsidP="000C6631">
      <w:pPr>
        <w:ind w:left="360"/>
        <w:jc w:val="both"/>
        <w:outlineLvl w:val="0"/>
        <w:rPr>
          <w:rFonts w:ascii="Verdana" w:hAnsi="Verdana"/>
          <w:b/>
          <w:i/>
          <w:sz w:val="20"/>
          <w:szCs w:val="20"/>
        </w:rPr>
      </w:pPr>
      <w:r w:rsidRPr="00025B12">
        <w:rPr>
          <w:rFonts w:ascii="Verdana" w:hAnsi="Verdana"/>
          <w:b/>
          <w:i/>
          <w:sz w:val="20"/>
          <w:szCs w:val="20"/>
        </w:rPr>
        <w:t>Tabulka 1: Výběrový so</w:t>
      </w:r>
      <w:r w:rsidR="00793D59" w:rsidRPr="00025B12">
        <w:rPr>
          <w:rFonts w:ascii="Verdana" w:hAnsi="Verdana"/>
          <w:b/>
          <w:i/>
          <w:sz w:val="20"/>
          <w:szCs w:val="20"/>
        </w:rPr>
        <w:t>u</w:t>
      </w:r>
      <w:r w:rsidRPr="00025B12">
        <w:rPr>
          <w:rFonts w:ascii="Verdana" w:hAnsi="Verdana"/>
          <w:b/>
          <w:i/>
          <w:sz w:val="20"/>
          <w:szCs w:val="20"/>
        </w:rPr>
        <w:t>bor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2298"/>
        <w:gridCol w:w="1811"/>
        <w:gridCol w:w="2881"/>
      </w:tblGrid>
      <w:tr w:rsidR="00026CCA" w:rsidRPr="00025B12" w:rsidTr="00CF3559">
        <w:tc>
          <w:tcPr>
            <w:tcW w:w="5000" w:type="pct"/>
            <w:gridSpan w:val="4"/>
            <w:shd w:val="clear" w:color="auto" w:fill="663399"/>
          </w:tcPr>
          <w:p w:rsidR="00026CCA" w:rsidRPr="00025B12" w:rsidRDefault="00026CCA" w:rsidP="00026CCA">
            <w:pPr>
              <w:autoSpaceDE w:val="0"/>
              <w:autoSpaceDN w:val="0"/>
              <w:adjustRightInd w:val="0"/>
              <w:spacing w:after="0"/>
              <w:ind w:left="360"/>
              <w:jc w:val="center"/>
              <w:rPr>
                <w:rFonts w:ascii="Verdana" w:hAnsi="Verdana" w:cs="Arial"/>
                <w:b/>
                <w:color w:val="F2F2F2" w:themeColor="background1" w:themeShade="F2"/>
                <w:sz w:val="20"/>
                <w:szCs w:val="20"/>
              </w:rPr>
            </w:pPr>
            <w:r w:rsidRPr="00025B12">
              <w:rPr>
                <w:rFonts w:ascii="Verdana" w:hAnsi="Verdana" w:cs="Arial"/>
                <w:b/>
                <w:color w:val="F2F2F2" w:themeColor="background1" w:themeShade="F2"/>
                <w:sz w:val="20"/>
                <w:szCs w:val="20"/>
              </w:rPr>
              <w:t xml:space="preserve">STRUKTURA - VÝBĚROVÝ SOUBOR MONITORING </w:t>
            </w:r>
          </w:p>
        </w:tc>
      </w:tr>
      <w:tr w:rsidR="00026CCA" w:rsidRPr="00025B12" w:rsidTr="00026CCA">
        <w:trPr>
          <w:trHeight w:val="420"/>
        </w:trPr>
        <w:tc>
          <w:tcPr>
            <w:tcW w:w="1237" w:type="pct"/>
          </w:tcPr>
          <w:p w:rsidR="00026CCA" w:rsidRPr="00025B12" w:rsidRDefault="00026CCA" w:rsidP="00026CCA">
            <w:pPr>
              <w:autoSpaceDE w:val="0"/>
              <w:autoSpaceDN w:val="0"/>
              <w:adjustRightInd w:val="0"/>
              <w:spacing w:after="0"/>
              <w:ind w:left="360"/>
              <w:jc w:val="center"/>
              <w:rPr>
                <w:rFonts w:ascii="Verdana" w:hAnsi="Verdana"/>
                <w:sz w:val="20"/>
                <w:szCs w:val="20"/>
              </w:rPr>
            </w:pPr>
            <w:r w:rsidRPr="00025B12">
              <w:rPr>
                <w:rFonts w:ascii="Verdana" w:hAnsi="Verdana" w:cs="Arial"/>
                <w:color w:val="000000"/>
                <w:sz w:val="20"/>
                <w:szCs w:val="20"/>
              </w:rPr>
              <w:t>Typ respondenta</w:t>
            </w:r>
          </w:p>
        </w:tc>
        <w:tc>
          <w:tcPr>
            <w:tcW w:w="1237" w:type="pct"/>
          </w:tcPr>
          <w:p w:rsidR="00026CCA" w:rsidRPr="00025B12" w:rsidRDefault="00026CCA" w:rsidP="00026CCA">
            <w:pPr>
              <w:autoSpaceDE w:val="0"/>
              <w:autoSpaceDN w:val="0"/>
              <w:adjustRightInd w:val="0"/>
              <w:spacing w:after="0"/>
              <w:ind w:left="360"/>
              <w:jc w:val="center"/>
              <w:rPr>
                <w:rFonts w:ascii="Verdana" w:hAnsi="Verdana"/>
                <w:sz w:val="20"/>
                <w:szCs w:val="20"/>
              </w:rPr>
            </w:pPr>
            <w:r w:rsidRPr="00025B12">
              <w:rPr>
                <w:rFonts w:ascii="Verdana" w:hAnsi="Verdana" w:cs="Arial"/>
                <w:color w:val="000000"/>
                <w:sz w:val="20"/>
                <w:szCs w:val="20"/>
              </w:rPr>
              <w:t>Počet rozeslaných dotazníků</w:t>
            </w:r>
          </w:p>
        </w:tc>
        <w:tc>
          <w:tcPr>
            <w:tcW w:w="975"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Počet vyplněných dotazníků</w:t>
            </w:r>
          </w:p>
        </w:tc>
        <w:tc>
          <w:tcPr>
            <w:tcW w:w="1551"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Podíl vyplněných dotazníků podle typu respondenta (%)</w:t>
            </w:r>
          </w:p>
        </w:tc>
      </w:tr>
      <w:tr w:rsidR="00026CCA" w:rsidRPr="00025B12" w:rsidTr="00026CCA">
        <w:tc>
          <w:tcPr>
            <w:tcW w:w="1237" w:type="pct"/>
          </w:tcPr>
          <w:p w:rsidR="00026CCA" w:rsidRPr="00025B12" w:rsidRDefault="00026CCA" w:rsidP="00026CCA">
            <w:pPr>
              <w:autoSpaceDE w:val="0"/>
              <w:autoSpaceDN w:val="0"/>
              <w:adjustRightInd w:val="0"/>
              <w:spacing w:after="0"/>
              <w:ind w:left="360"/>
              <w:rPr>
                <w:rFonts w:ascii="Verdana" w:hAnsi="Verdana" w:cs="Arial"/>
                <w:color w:val="000000"/>
                <w:sz w:val="20"/>
                <w:szCs w:val="20"/>
              </w:rPr>
            </w:pPr>
            <w:r w:rsidRPr="00025B12">
              <w:rPr>
                <w:rFonts w:ascii="Verdana" w:hAnsi="Verdana" w:cs="Arial"/>
                <w:color w:val="000000"/>
                <w:sz w:val="20"/>
                <w:szCs w:val="20"/>
              </w:rPr>
              <w:t>Školy UNIV</w:t>
            </w:r>
          </w:p>
        </w:tc>
        <w:tc>
          <w:tcPr>
            <w:tcW w:w="1237"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50</w:t>
            </w:r>
          </w:p>
        </w:tc>
        <w:tc>
          <w:tcPr>
            <w:tcW w:w="975"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49</w:t>
            </w:r>
          </w:p>
        </w:tc>
        <w:tc>
          <w:tcPr>
            <w:tcW w:w="1551"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63</w:t>
            </w:r>
          </w:p>
        </w:tc>
      </w:tr>
      <w:tr w:rsidR="00026CCA" w:rsidRPr="00025B12" w:rsidTr="00026CCA">
        <w:tc>
          <w:tcPr>
            <w:tcW w:w="1237" w:type="pct"/>
          </w:tcPr>
          <w:p w:rsidR="00026CCA" w:rsidRPr="00025B12" w:rsidRDefault="00026CCA" w:rsidP="00026CCA">
            <w:pPr>
              <w:autoSpaceDE w:val="0"/>
              <w:autoSpaceDN w:val="0"/>
              <w:adjustRightInd w:val="0"/>
              <w:spacing w:after="0"/>
              <w:ind w:left="360"/>
              <w:rPr>
                <w:rFonts w:ascii="Verdana" w:hAnsi="Verdana" w:cs="Arial"/>
                <w:color w:val="000000"/>
                <w:sz w:val="20"/>
                <w:szCs w:val="20"/>
              </w:rPr>
            </w:pPr>
            <w:r w:rsidRPr="00025B12">
              <w:rPr>
                <w:rFonts w:ascii="Verdana" w:hAnsi="Verdana" w:cs="Arial"/>
                <w:color w:val="000000"/>
                <w:sz w:val="20"/>
                <w:szCs w:val="20"/>
              </w:rPr>
              <w:t>Soukromí vzdělavatelé</w:t>
            </w:r>
          </w:p>
        </w:tc>
        <w:tc>
          <w:tcPr>
            <w:tcW w:w="1237"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87</w:t>
            </w:r>
          </w:p>
        </w:tc>
        <w:tc>
          <w:tcPr>
            <w:tcW w:w="975"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17</w:t>
            </w:r>
          </w:p>
        </w:tc>
        <w:tc>
          <w:tcPr>
            <w:tcW w:w="1551"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22</w:t>
            </w:r>
          </w:p>
        </w:tc>
      </w:tr>
      <w:tr w:rsidR="00026CCA" w:rsidRPr="00025B12" w:rsidTr="00026CCA">
        <w:tc>
          <w:tcPr>
            <w:tcW w:w="1237" w:type="pct"/>
          </w:tcPr>
          <w:p w:rsidR="00026CCA" w:rsidRPr="00025B12" w:rsidRDefault="00026CCA" w:rsidP="00026CCA">
            <w:pPr>
              <w:autoSpaceDE w:val="0"/>
              <w:autoSpaceDN w:val="0"/>
              <w:adjustRightInd w:val="0"/>
              <w:spacing w:after="0"/>
              <w:ind w:left="360"/>
              <w:rPr>
                <w:rFonts w:ascii="Verdana" w:hAnsi="Verdana" w:cs="Arial"/>
                <w:color w:val="000000"/>
                <w:sz w:val="20"/>
                <w:szCs w:val="20"/>
              </w:rPr>
            </w:pPr>
            <w:r w:rsidRPr="00025B12">
              <w:rPr>
                <w:rFonts w:ascii="Verdana" w:hAnsi="Verdana" w:cs="Arial"/>
                <w:color w:val="000000"/>
                <w:sz w:val="20"/>
                <w:szCs w:val="20"/>
              </w:rPr>
              <w:t>VŠ</w:t>
            </w:r>
          </w:p>
        </w:tc>
        <w:tc>
          <w:tcPr>
            <w:tcW w:w="1237"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30</w:t>
            </w:r>
          </w:p>
        </w:tc>
        <w:tc>
          <w:tcPr>
            <w:tcW w:w="975"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8</w:t>
            </w:r>
          </w:p>
        </w:tc>
        <w:tc>
          <w:tcPr>
            <w:tcW w:w="1551"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10</w:t>
            </w:r>
          </w:p>
        </w:tc>
      </w:tr>
      <w:tr w:rsidR="00026CCA" w:rsidRPr="00025B12" w:rsidTr="00026CCA">
        <w:tc>
          <w:tcPr>
            <w:tcW w:w="1237" w:type="pct"/>
          </w:tcPr>
          <w:p w:rsidR="00026CCA" w:rsidRPr="00025B12" w:rsidRDefault="00026CCA" w:rsidP="00026CCA">
            <w:pPr>
              <w:autoSpaceDE w:val="0"/>
              <w:autoSpaceDN w:val="0"/>
              <w:adjustRightInd w:val="0"/>
              <w:spacing w:after="0"/>
              <w:ind w:left="360"/>
              <w:rPr>
                <w:rFonts w:ascii="Verdana" w:hAnsi="Verdana" w:cs="Arial"/>
                <w:color w:val="000000"/>
                <w:sz w:val="20"/>
                <w:szCs w:val="20"/>
              </w:rPr>
            </w:pPr>
            <w:r w:rsidRPr="00025B12">
              <w:rPr>
                <w:rFonts w:ascii="Verdana" w:hAnsi="Verdana" w:cs="Arial"/>
                <w:color w:val="000000"/>
                <w:sz w:val="20"/>
                <w:szCs w:val="20"/>
              </w:rPr>
              <w:t>VOŠ</w:t>
            </w:r>
          </w:p>
        </w:tc>
        <w:tc>
          <w:tcPr>
            <w:tcW w:w="1237"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20</w:t>
            </w:r>
          </w:p>
        </w:tc>
        <w:tc>
          <w:tcPr>
            <w:tcW w:w="975"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4</w:t>
            </w:r>
          </w:p>
        </w:tc>
        <w:tc>
          <w:tcPr>
            <w:tcW w:w="1551"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5</w:t>
            </w:r>
          </w:p>
        </w:tc>
      </w:tr>
      <w:tr w:rsidR="00026CCA" w:rsidRPr="00025B12" w:rsidTr="00026CCA">
        <w:tc>
          <w:tcPr>
            <w:tcW w:w="1237" w:type="pct"/>
          </w:tcPr>
          <w:p w:rsidR="00026CCA" w:rsidRPr="00025B12" w:rsidRDefault="00026CCA" w:rsidP="00026CCA">
            <w:pPr>
              <w:autoSpaceDE w:val="0"/>
              <w:autoSpaceDN w:val="0"/>
              <w:adjustRightInd w:val="0"/>
              <w:spacing w:after="0"/>
              <w:ind w:left="360"/>
              <w:rPr>
                <w:rFonts w:ascii="Verdana" w:hAnsi="Verdana" w:cs="Arial"/>
                <w:color w:val="000000"/>
                <w:sz w:val="20"/>
                <w:szCs w:val="20"/>
              </w:rPr>
            </w:pPr>
            <w:r w:rsidRPr="00025B12">
              <w:rPr>
                <w:rFonts w:ascii="Verdana" w:hAnsi="Verdana" w:cs="Arial"/>
                <w:color w:val="000000"/>
                <w:sz w:val="20"/>
                <w:szCs w:val="20"/>
              </w:rPr>
              <w:t>CELKEM</w:t>
            </w:r>
          </w:p>
        </w:tc>
        <w:tc>
          <w:tcPr>
            <w:tcW w:w="1237"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187</w:t>
            </w:r>
          </w:p>
        </w:tc>
        <w:tc>
          <w:tcPr>
            <w:tcW w:w="975"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66</w:t>
            </w:r>
          </w:p>
        </w:tc>
        <w:tc>
          <w:tcPr>
            <w:tcW w:w="1551" w:type="pct"/>
          </w:tcPr>
          <w:p w:rsidR="00026CCA" w:rsidRPr="00025B12" w:rsidRDefault="00026CCA" w:rsidP="00026CCA">
            <w:pPr>
              <w:autoSpaceDE w:val="0"/>
              <w:autoSpaceDN w:val="0"/>
              <w:adjustRightInd w:val="0"/>
              <w:spacing w:after="0"/>
              <w:ind w:left="360"/>
              <w:jc w:val="center"/>
              <w:rPr>
                <w:rFonts w:ascii="Verdana" w:hAnsi="Verdana" w:cs="Arial"/>
                <w:color w:val="000000"/>
                <w:sz w:val="20"/>
                <w:szCs w:val="20"/>
              </w:rPr>
            </w:pPr>
            <w:r w:rsidRPr="00025B12">
              <w:rPr>
                <w:rFonts w:ascii="Verdana" w:hAnsi="Verdana" w:cs="Arial"/>
                <w:color w:val="000000"/>
                <w:sz w:val="20"/>
                <w:szCs w:val="20"/>
              </w:rPr>
              <w:t>100</w:t>
            </w:r>
          </w:p>
        </w:tc>
      </w:tr>
    </w:tbl>
    <w:p w:rsidR="00026CCA" w:rsidRPr="00025B12" w:rsidRDefault="00026CCA" w:rsidP="00026CCA">
      <w:pPr>
        <w:ind w:left="360"/>
        <w:jc w:val="both"/>
        <w:rPr>
          <w:rFonts w:ascii="Verdana" w:hAnsi="Verdana"/>
          <w:sz w:val="20"/>
          <w:szCs w:val="20"/>
          <w:u w:val="single"/>
        </w:rPr>
      </w:pPr>
    </w:p>
    <w:p w:rsidR="00026CCA" w:rsidRPr="00025B12" w:rsidRDefault="00026CCA" w:rsidP="004B01CA">
      <w:pPr>
        <w:jc w:val="both"/>
        <w:rPr>
          <w:rFonts w:ascii="Verdana" w:hAnsi="Verdana"/>
          <w:b/>
          <w:noProof/>
          <w:sz w:val="24"/>
          <w:szCs w:val="24"/>
          <w:lang w:eastAsia="cs-CZ"/>
        </w:rPr>
      </w:pPr>
      <w:bookmarkStart w:id="20" w:name="_Toc287609025"/>
      <w:bookmarkStart w:id="21" w:name="_Toc289351171"/>
      <w:bookmarkStart w:id="22" w:name="_Toc289351253"/>
      <w:r w:rsidRPr="00025B12">
        <w:rPr>
          <w:rFonts w:ascii="Verdana" w:hAnsi="Verdana"/>
          <w:b/>
          <w:noProof/>
          <w:sz w:val="24"/>
          <w:szCs w:val="24"/>
          <w:lang w:eastAsia="cs-CZ"/>
        </w:rPr>
        <w:t>Výsledky šetření</w:t>
      </w:r>
      <w:bookmarkEnd w:id="20"/>
      <w:bookmarkEnd w:id="21"/>
      <w:bookmarkEnd w:id="22"/>
    </w:p>
    <w:p w:rsidR="00026CCA" w:rsidRPr="00025B12" w:rsidRDefault="00026CCA" w:rsidP="000C6631">
      <w:pPr>
        <w:pStyle w:val="Nadpis11"/>
        <w:outlineLvl w:val="0"/>
        <w:rPr>
          <w:i/>
          <w:sz w:val="20"/>
          <w:szCs w:val="20"/>
          <w:u w:val="single"/>
        </w:rPr>
      </w:pPr>
      <w:r w:rsidRPr="00025B12">
        <w:rPr>
          <w:i/>
          <w:sz w:val="20"/>
          <w:szCs w:val="20"/>
          <w:u w:val="single"/>
        </w:rPr>
        <w:t xml:space="preserve">Současné zdroje informací </w:t>
      </w:r>
    </w:p>
    <w:p w:rsidR="00623FBA" w:rsidRDefault="00026CCA" w:rsidP="0005115F">
      <w:pPr>
        <w:jc w:val="both"/>
        <w:rPr>
          <w:rFonts w:ascii="Verdana" w:hAnsi="Verdana"/>
          <w:sz w:val="20"/>
          <w:szCs w:val="20"/>
        </w:rPr>
      </w:pPr>
      <w:r w:rsidRPr="00025B12">
        <w:rPr>
          <w:rFonts w:ascii="Verdana" w:hAnsi="Verdana"/>
          <w:sz w:val="20"/>
          <w:szCs w:val="20"/>
        </w:rPr>
        <w:t>Obě zkoumané skupiny (školy a soukromí vzdělavatelé) byly požádány, aby popsaly svou spokojenost se současnou nabídkou informací o dalším vzdělávání. Obě skupiny uvedly, že dostatek informací spíše mají. Mírně pesimističtěji situaci hodnotí soukromí vzdělavatelé než školy, přesto i v této skupině převažuje pocit poměrné dostatečnosti informací. Jak ukáží</w:t>
      </w:r>
    </w:p>
    <w:p w:rsidR="00026CCA" w:rsidRPr="00025B12" w:rsidRDefault="00026CCA" w:rsidP="0005115F">
      <w:pPr>
        <w:jc w:val="both"/>
        <w:rPr>
          <w:rFonts w:ascii="Verdana" w:hAnsi="Verdana"/>
          <w:sz w:val="20"/>
          <w:szCs w:val="20"/>
        </w:rPr>
      </w:pPr>
      <w:r w:rsidRPr="00025B12">
        <w:rPr>
          <w:rFonts w:ascii="Verdana" w:hAnsi="Verdana"/>
          <w:sz w:val="20"/>
          <w:szCs w:val="20"/>
        </w:rPr>
        <w:t xml:space="preserve"> odpovědi v další části dotazníků, existují i přesto určité typy informací, které jsou pro vzdělavatele zajímavé a užitečné a nejsou snadno veřejně k dispozici. Vyhodnocení zdrojů, které vzdělavatelé pro získání informací o situaci v dalším vzdělávání používají, ukazuje, že v oblasti monitoringu dalšího vzdělávání jsou zřetelné informační mezery. Školy nejčastěji získávají informace z Internetu, konkrétně ze zdrojů ÚP, MŠMT a projektu UNIV. Zmiňován byl též Národní institut pro další vzdělávání. Častými zdroji informací jsou také osobní schůzky se zástupci s ÚP, MěÚ, jiných partnerů škol nebo osobních kontaktů. Nezanedbatelným zdrojem informací je také komunikace v rámci projektu UNIV a s Národním ústavem odborného vzdělávání. I soukromí vzdělavatelé nejčastěji využívají jako zdroj informací Internet, konkrétně pak stránky ÚP a MŠMT. Časté je také sledování odborných časopisů a osobní kontakty s lidmi z oborů, na které se vzdělávací agentury zaměřují. </w:t>
      </w:r>
    </w:p>
    <w:p w:rsidR="00AC60CA" w:rsidRPr="00025B12" w:rsidRDefault="00026CCA" w:rsidP="00AC60CA">
      <w:pPr>
        <w:jc w:val="both"/>
        <w:rPr>
          <w:rFonts w:ascii="Verdana" w:hAnsi="Verdana"/>
          <w:sz w:val="20"/>
          <w:szCs w:val="20"/>
        </w:rPr>
      </w:pPr>
      <w:r w:rsidRPr="00025B12">
        <w:rPr>
          <w:rFonts w:ascii="Verdana" w:hAnsi="Verdana"/>
          <w:sz w:val="20"/>
          <w:szCs w:val="20"/>
        </w:rPr>
        <w:lastRenderedPageBreak/>
        <w:t xml:space="preserve">Většina zmiňovaných zdrojů poskytuje různé tematické články, příklady dobré praxe, metodickou podporu a další užitečné zdroje. Chybí v nich však kontinuální a systematické informace o stavu dalšího vzdělávání, indikátory a podrobnější analýzy, které by mohly vzdělávací instituce systematicky používat pro zmapování trhu, zacílení programů, nastavení marketingových strategií apod. Ačkoli objektivně existují k dispozici statistické i analytické informace o dalším vzdělávání (šetření ČSÚ, databáze ÚIV, analýzy NOZV a řada dalších – viz studie </w:t>
      </w:r>
      <w:r w:rsidR="00130152" w:rsidRPr="00025B12">
        <w:rPr>
          <w:rFonts w:ascii="Verdana" w:hAnsi="Verdana"/>
          <w:sz w:val="20"/>
          <w:szCs w:val="20"/>
        </w:rPr>
        <w:t>S9 – Analýza informačních zdrojů pro monitoring dalšího vzdělávání</w:t>
      </w:r>
      <w:r w:rsidRPr="00025B12">
        <w:rPr>
          <w:rFonts w:ascii="Verdana" w:hAnsi="Verdana"/>
          <w:sz w:val="20"/>
          <w:szCs w:val="20"/>
        </w:rPr>
        <w:t>), je zřejmé, že vzdělavatelé je při své činnosti prakticky nevyužívají. Protože poptávka po těchto typech informací mezi vzdělavateli existuje (viz dále), je pravděpodobné, že s výjimkou informací z úřadů práce o těchto zdrojích informací nevědí nebo tyto informace nemají vhodnou uživatelskou formu.</w:t>
      </w:r>
      <w:r w:rsidR="00AC60CA" w:rsidRPr="00025B12">
        <w:rPr>
          <w:rFonts w:ascii="Verdana" w:hAnsi="Verdana"/>
          <w:sz w:val="20"/>
          <w:szCs w:val="20"/>
        </w:rPr>
        <w:t xml:space="preserve"> </w:t>
      </w:r>
    </w:p>
    <w:p w:rsidR="00AC60CA" w:rsidRPr="00025B12" w:rsidRDefault="00AC60CA" w:rsidP="00AC60CA">
      <w:pPr>
        <w:jc w:val="both"/>
        <w:rPr>
          <w:rFonts w:ascii="Verdana" w:hAnsi="Verdana"/>
          <w:sz w:val="20"/>
          <w:szCs w:val="20"/>
        </w:rPr>
      </w:pPr>
      <w:r w:rsidRPr="00025B12">
        <w:rPr>
          <w:rFonts w:ascii="Verdana" w:hAnsi="Verdana"/>
          <w:sz w:val="20"/>
          <w:szCs w:val="20"/>
        </w:rPr>
        <w:t>Tuto hypotézu potvrzují také výpovědi těch vzdělavatelů, kteří uvedli, že pociťují nedostatek informací. Školy ve výběru nejčastěji uvádějí, že nemají dostatečné informace o poptávce zaměstnavatelů a celkovém vývoji nabídky a poptávky pracovních míst na trhu práce, ale také postrádají znalost konkurenčního prostředí, nabídky kurzů a informace o poskytovatelích či legislativním zakotvení. Soukromí vzdělavatelé pociťují nedostatek informací v oblasti připravované a schválené legislativy o vzdělávání a o restrukturalizačních vlivech na kvalifikace. Kromě těchto monitorovacích oblastí postrádají některé vzdělávací instituce také metodickou podporu a uvítali by informace podle své odbornosti.</w:t>
      </w:r>
    </w:p>
    <w:p w:rsidR="00026CCA" w:rsidRPr="00025B12" w:rsidRDefault="00026CCA" w:rsidP="00026CCA">
      <w:pPr>
        <w:ind w:left="360"/>
        <w:jc w:val="both"/>
        <w:rPr>
          <w:rFonts w:ascii="Verdana" w:hAnsi="Verdana"/>
          <w:sz w:val="20"/>
          <w:szCs w:val="20"/>
        </w:rPr>
      </w:pPr>
    </w:p>
    <w:p w:rsidR="00026CCA" w:rsidRPr="00025B12" w:rsidRDefault="00AC60CA" w:rsidP="00CF3559">
      <w:pPr>
        <w:spacing w:after="120"/>
        <w:ind w:left="357"/>
        <w:rPr>
          <w:rFonts w:ascii="Verdana" w:hAnsi="Verdana"/>
          <w:b/>
          <w:i/>
          <w:sz w:val="20"/>
          <w:szCs w:val="20"/>
        </w:rPr>
      </w:pPr>
      <w:r w:rsidRPr="00025B12">
        <w:rPr>
          <w:rFonts w:ascii="Verdana" w:hAnsi="Verdana"/>
          <w:b/>
          <w:i/>
          <w:sz w:val="20"/>
          <w:szCs w:val="20"/>
        </w:rPr>
        <w:br w:type="page"/>
      </w:r>
      <w:r w:rsidR="00026CCA" w:rsidRPr="00025B12">
        <w:rPr>
          <w:rFonts w:ascii="Verdana" w:hAnsi="Verdana"/>
          <w:b/>
          <w:i/>
          <w:sz w:val="20"/>
          <w:szCs w:val="20"/>
        </w:rPr>
        <w:lastRenderedPageBreak/>
        <w:t>Graf 1: Máte pro svou činnost dostatek informací o situaci v dalším vzdělávání? (%)</w:t>
      </w:r>
    </w:p>
    <w:p w:rsidR="00026CCA" w:rsidRPr="00025B12" w:rsidRDefault="00026CCA" w:rsidP="00AC60CA">
      <w:pPr>
        <w:spacing w:after="0"/>
        <w:ind w:left="357"/>
        <w:rPr>
          <w:rFonts w:ascii="Verdana" w:hAnsi="Verdana"/>
          <w:sz w:val="20"/>
          <w:szCs w:val="20"/>
        </w:rPr>
      </w:pPr>
      <w:r w:rsidRPr="00025B12">
        <w:rPr>
          <w:rFonts w:ascii="Verdana" w:hAnsi="Verdana"/>
          <w:noProof/>
          <w:sz w:val="20"/>
          <w:szCs w:val="20"/>
          <w:lang w:eastAsia="cs-CZ"/>
        </w:rPr>
        <w:object w:dxaOrig="9023" w:dyaOrig="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173pt" o:ole="">
            <v:imagedata r:id="rId10" o:title=""/>
          </v:shape>
          <o:OLEObject Type="Embed" ProgID="Excel.Sheet.12" ShapeID="_x0000_i1025" DrawAspect="Content" ObjectID="_1380023414" r:id="rId11"/>
        </w:object>
      </w:r>
    </w:p>
    <w:p w:rsidR="00026CCA" w:rsidRPr="00025B12" w:rsidRDefault="00026CCA" w:rsidP="000C6631">
      <w:pPr>
        <w:pStyle w:val="Nadpis11"/>
        <w:outlineLvl w:val="0"/>
        <w:rPr>
          <w:i/>
          <w:sz w:val="20"/>
          <w:szCs w:val="20"/>
          <w:u w:val="single"/>
        </w:rPr>
      </w:pPr>
      <w:r w:rsidRPr="00025B12">
        <w:rPr>
          <w:i/>
          <w:sz w:val="20"/>
          <w:szCs w:val="20"/>
          <w:u w:val="single"/>
        </w:rPr>
        <w:t>Zájem o různé druhy informací</w:t>
      </w:r>
    </w:p>
    <w:p w:rsidR="00026CCA" w:rsidRPr="00025B12" w:rsidRDefault="00026CCA" w:rsidP="000C52A6">
      <w:pPr>
        <w:jc w:val="both"/>
        <w:rPr>
          <w:rFonts w:ascii="Verdana" w:hAnsi="Verdana"/>
          <w:sz w:val="20"/>
          <w:szCs w:val="20"/>
        </w:rPr>
      </w:pPr>
      <w:r w:rsidRPr="00025B12">
        <w:rPr>
          <w:rFonts w:ascii="Verdana" w:hAnsi="Verdana"/>
          <w:sz w:val="20"/>
          <w:szCs w:val="20"/>
        </w:rPr>
        <w:t>Dále se dotazník zaměřil na sledování užitečnosti informací, které byly rozděleny do pěti okruhů: prostředí pro další vzdělávání; podnikové vzdělávání; individuální další vzdělávání; nabídka dalšího vzdělávání; rekvalifikace. Respondenti byli požádáni, aby</w:t>
      </w:r>
      <w:r w:rsidR="00793D59" w:rsidRPr="00025B12">
        <w:rPr>
          <w:rFonts w:ascii="Verdana" w:hAnsi="Verdana"/>
          <w:sz w:val="20"/>
          <w:szCs w:val="20"/>
        </w:rPr>
        <w:t xml:space="preserve"> ohodnotili</w:t>
      </w:r>
      <w:r w:rsidRPr="00025B12">
        <w:rPr>
          <w:rFonts w:ascii="Verdana" w:hAnsi="Verdana"/>
          <w:sz w:val="20"/>
          <w:szCs w:val="20"/>
        </w:rPr>
        <w:t xml:space="preserve"> důležitost příslušných informací pro každý okruh (kompletní znění nabízených možností viz tabulka). </w:t>
      </w:r>
    </w:p>
    <w:p w:rsidR="00AC60CA" w:rsidRPr="00025B12" w:rsidRDefault="00AC60CA" w:rsidP="000C6631">
      <w:pPr>
        <w:jc w:val="both"/>
        <w:outlineLvl w:val="0"/>
        <w:rPr>
          <w:rFonts w:ascii="Verdana" w:hAnsi="Verdana"/>
          <w:sz w:val="20"/>
          <w:szCs w:val="20"/>
        </w:rPr>
      </w:pPr>
      <w:r w:rsidRPr="00025B12">
        <w:rPr>
          <w:rFonts w:ascii="Verdana" w:hAnsi="Verdana"/>
          <w:sz w:val="20"/>
          <w:szCs w:val="20"/>
        </w:rPr>
        <w:t>Tabulka 2: Informace nabízené v dotazníku</w:t>
      </w:r>
    </w:p>
    <w:tbl>
      <w:tblPr>
        <w:tblW w:w="454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364"/>
      </w:tblGrid>
      <w:tr w:rsidR="000C52A6" w:rsidRPr="00025B12" w:rsidTr="000C52A6">
        <w:tc>
          <w:tcPr>
            <w:tcW w:w="8364" w:type="dxa"/>
            <w:shd w:val="clear" w:color="auto" w:fill="auto"/>
            <w:noWrap/>
            <w:vAlign w:val="bottom"/>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b/>
                <w:bCs/>
                <w:color w:val="000000"/>
                <w:sz w:val="18"/>
                <w:szCs w:val="18"/>
                <w:u w:val="single"/>
                <w:lang w:eastAsia="cs-CZ"/>
              </w:rPr>
              <w:t>Prostředí pro další vzdělávání</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a. Legislativa vztahující se k dalšímu vzdělávání</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b. Nedostatky v dovednostech pracovníků pociťované zaměstnavateli</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c. Úroveň znalostí a dovedností dospělé populace</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b/>
                <w:bCs/>
                <w:color w:val="000000"/>
                <w:sz w:val="18"/>
                <w:szCs w:val="18"/>
                <w:u w:val="single"/>
                <w:lang w:eastAsia="cs-CZ"/>
              </w:rPr>
            </w:pPr>
            <w:r w:rsidRPr="00025B12">
              <w:rPr>
                <w:rFonts w:ascii="Verdana" w:eastAsia="Times New Roman" w:hAnsi="Verdana"/>
                <w:b/>
                <w:bCs/>
                <w:color w:val="000000"/>
                <w:sz w:val="18"/>
                <w:szCs w:val="18"/>
                <w:u w:val="single"/>
                <w:lang w:eastAsia="cs-CZ"/>
              </w:rPr>
              <w:t>Podnikové vzdělávání</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d. Rozsah vzdělávání v podnicích (počet vzdělávajících podniků, podíly účastníků, doby kurzů apod.)</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e. Obsah podnikového vzdělávání (témata školení, školené profese)</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f. Formy, které podniky pro vzdělávání využívají (interní a externí kurzy, coaching, on-the-job training…)</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g. Výdaje podniků na vzdělávání</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h. Existence podnikových vzdělávacích politik</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b/>
                <w:bCs/>
                <w:color w:val="000000"/>
                <w:sz w:val="18"/>
                <w:szCs w:val="18"/>
                <w:u w:val="single"/>
                <w:lang w:eastAsia="cs-CZ"/>
              </w:rPr>
            </w:pPr>
            <w:r w:rsidRPr="00025B12">
              <w:rPr>
                <w:rFonts w:ascii="Verdana" w:eastAsia="Times New Roman" w:hAnsi="Verdana"/>
                <w:b/>
                <w:bCs/>
                <w:color w:val="000000"/>
                <w:sz w:val="18"/>
                <w:szCs w:val="18"/>
                <w:u w:val="single"/>
                <w:lang w:eastAsia="cs-CZ"/>
              </w:rPr>
              <w:t>Individuální další vzdělávání</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i. Účast populace na různých formách dalšího vzdělávání (dálkové studium, kurzy, e-learning...)</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j. Účast specifických skupin(méně vzdělaných, starších osob, zdravotně postižených...)</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k. Výdaje jednotlivců na další vzdělávání</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l. Obsah dalšího vzdělávání jednotlivců (témata)</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m. Počet dosažených úplných a dílčích kvalifikací v rámci uznávání výsledků celoživotního učení</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b/>
                <w:bCs/>
                <w:color w:val="000000"/>
                <w:sz w:val="18"/>
                <w:szCs w:val="18"/>
                <w:u w:val="single"/>
                <w:lang w:eastAsia="cs-CZ"/>
              </w:rPr>
            </w:pPr>
            <w:r w:rsidRPr="00025B12">
              <w:rPr>
                <w:rFonts w:ascii="Verdana" w:eastAsia="Times New Roman" w:hAnsi="Verdana"/>
                <w:b/>
                <w:bCs/>
                <w:color w:val="000000"/>
                <w:sz w:val="18"/>
                <w:szCs w:val="18"/>
                <w:u w:val="single"/>
                <w:lang w:eastAsia="cs-CZ"/>
              </w:rPr>
              <w:t>Nabídka dalšího vzdělávání</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n. Počty a struktura poskytovatelů dalšího vzdělávání</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o. Kvalita dalšího vzdělávání</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p. Rozsah a struktura nabídky dalšího formálního vzdělávání (ve školách)</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q. Rozsah a struktura nabídky dalšího neformálního vzdělávání (kurzy, školení apod.)</w:t>
            </w:r>
            <w:r w:rsidRPr="00025B12">
              <w:rPr>
                <w:rFonts w:ascii="Verdana" w:eastAsia="Times New Roman" w:hAnsi="Verdana"/>
                <w:color w:val="FFFFCC"/>
                <w:sz w:val="18"/>
                <w:szCs w:val="18"/>
                <w:lang w:eastAsia="cs-CZ"/>
              </w:rPr>
              <w:t>#</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b/>
                <w:bCs/>
                <w:color w:val="000000"/>
                <w:sz w:val="18"/>
                <w:szCs w:val="18"/>
                <w:u w:val="single"/>
                <w:lang w:eastAsia="cs-CZ"/>
              </w:rPr>
            </w:pPr>
            <w:r w:rsidRPr="00025B12">
              <w:rPr>
                <w:rFonts w:ascii="Verdana" w:eastAsia="Times New Roman" w:hAnsi="Verdana"/>
                <w:b/>
                <w:bCs/>
                <w:color w:val="000000"/>
                <w:sz w:val="18"/>
                <w:szCs w:val="18"/>
                <w:u w:val="single"/>
                <w:lang w:eastAsia="cs-CZ"/>
              </w:rPr>
              <w:t>Rekvalifikace</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r. Účast na rekvalifikacích</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s. Využívání rekvalifikací v podnicích</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t. Výdaje na rekvalifikace</w:t>
            </w:r>
          </w:p>
        </w:tc>
      </w:tr>
      <w:tr w:rsidR="000C52A6" w:rsidRPr="00025B12" w:rsidTr="000C52A6">
        <w:tc>
          <w:tcPr>
            <w:tcW w:w="8364" w:type="dxa"/>
            <w:shd w:val="clear" w:color="auto" w:fill="auto"/>
            <w:vAlign w:val="center"/>
            <w:hideMark/>
          </w:tcPr>
          <w:p w:rsidR="000C52A6" w:rsidRPr="00025B12" w:rsidRDefault="000C52A6" w:rsidP="00B15A6C">
            <w:pPr>
              <w:spacing w:after="0" w:line="240" w:lineRule="auto"/>
              <w:rPr>
                <w:rFonts w:ascii="Verdana" w:eastAsia="Times New Roman" w:hAnsi="Verdana"/>
                <w:color w:val="000000"/>
                <w:sz w:val="18"/>
                <w:szCs w:val="18"/>
                <w:lang w:eastAsia="cs-CZ"/>
              </w:rPr>
            </w:pPr>
            <w:r w:rsidRPr="00025B12">
              <w:rPr>
                <w:rFonts w:ascii="Verdana" w:eastAsia="Times New Roman" w:hAnsi="Verdana"/>
                <w:color w:val="000000"/>
                <w:sz w:val="18"/>
                <w:szCs w:val="18"/>
                <w:lang w:eastAsia="cs-CZ"/>
              </w:rPr>
              <w:t>u. Zaměření rekvalifikací</w:t>
            </w:r>
          </w:p>
        </w:tc>
      </w:tr>
    </w:tbl>
    <w:p w:rsidR="00026CCA" w:rsidRPr="00025B12" w:rsidRDefault="00026CCA" w:rsidP="000C52A6">
      <w:pPr>
        <w:jc w:val="both"/>
        <w:rPr>
          <w:rFonts w:ascii="Verdana" w:hAnsi="Verdana"/>
          <w:sz w:val="20"/>
          <w:szCs w:val="20"/>
        </w:rPr>
      </w:pPr>
      <w:r w:rsidRPr="00025B12">
        <w:rPr>
          <w:rFonts w:ascii="Verdana" w:hAnsi="Verdana"/>
          <w:sz w:val="20"/>
          <w:szCs w:val="20"/>
        </w:rPr>
        <w:lastRenderedPageBreak/>
        <w:t>Většina nabízených ukazatelů byla vyhodnocena jako užitečná, zároveň je zřejmé, že mezi školami a soukromými vzdělavateli existují rozdíly v poptávce po informacích o dalším vzdělávání (viz graf 2). Pro všechny typy uživatelů se ukazuje jako velmi důležitá informace o účasti populace na různých formách dalšího vzdělávání, a dále mají školy i soukromí vzdělavatelé velký zájem o informace o nabídce formálního i neformálního vzdělávání. Pro školy jsou kromě toho prioritní informace o legislativě v oblasti dalšího vzdělávání. Soukromé vzdělávací instituce zase kladou největší důraz na informace o podnikovém vzdělávání a na rekvalifikace, zejména se zajímají o obsahy podnikového vzdělávání a zaměření rekvalifikací, ale také o výdaje podniků na vzdělávání. Odlišnost informačních potřeb škol a soukromých vzdělávacích institucí je způsoben odlišnou strukturou klientů. Zatímco školy se ve velké míře zaměřují na individuální vzdělávání, soukromé vzdělávací instituce poskytují své služby zejména podnikům a úřadům práce (ve formě rekvalifikačních kurzů).</w:t>
      </w:r>
    </w:p>
    <w:p w:rsidR="00026CCA" w:rsidRPr="00025B12" w:rsidRDefault="00026CCA" w:rsidP="000C6631">
      <w:pPr>
        <w:spacing w:after="120"/>
        <w:jc w:val="both"/>
        <w:outlineLvl w:val="0"/>
        <w:rPr>
          <w:rFonts w:ascii="Verdana" w:hAnsi="Verdana"/>
          <w:b/>
          <w:i/>
          <w:sz w:val="20"/>
          <w:szCs w:val="20"/>
        </w:rPr>
      </w:pPr>
      <w:r w:rsidRPr="00025B12">
        <w:rPr>
          <w:rFonts w:ascii="Verdana" w:hAnsi="Verdana"/>
          <w:b/>
          <w:i/>
          <w:sz w:val="20"/>
          <w:szCs w:val="20"/>
        </w:rPr>
        <w:t xml:space="preserve">Graf 2: Do jaké míry jsou pro vaši činnost důležité následující informace? </w:t>
      </w:r>
    </w:p>
    <w:p w:rsidR="00026CCA" w:rsidRPr="00025B12" w:rsidRDefault="00026CCA" w:rsidP="00CF3559">
      <w:pPr>
        <w:spacing w:after="120"/>
        <w:jc w:val="both"/>
        <w:rPr>
          <w:rFonts w:ascii="Verdana" w:hAnsi="Verdana"/>
          <w:sz w:val="20"/>
          <w:szCs w:val="20"/>
        </w:rPr>
      </w:pPr>
      <w:r w:rsidRPr="00025B12">
        <w:rPr>
          <w:rFonts w:ascii="Verdana" w:hAnsi="Verdana"/>
          <w:sz w:val="20"/>
          <w:szCs w:val="20"/>
        </w:rPr>
        <w:object w:dxaOrig="8872" w:dyaOrig="9001">
          <v:shape id="_x0000_i1026" type="#_x0000_t75" style="width:442.3pt;height:448.85pt" o:ole="">
            <v:imagedata r:id="rId12" o:title=""/>
          </v:shape>
          <o:OLEObject Type="Embed" ProgID="Excel.Sheet.8" ShapeID="_x0000_i1026" DrawAspect="Content" ObjectID="_1380023415" r:id="rId13"/>
        </w:object>
      </w:r>
    </w:p>
    <w:p w:rsidR="00026CCA" w:rsidRPr="00025B12" w:rsidRDefault="00026CCA" w:rsidP="00CF3559">
      <w:pPr>
        <w:spacing w:after="120"/>
        <w:jc w:val="both"/>
        <w:rPr>
          <w:rFonts w:ascii="Verdana" w:hAnsi="Verdana"/>
          <w:sz w:val="20"/>
          <w:szCs w:val="20"/>
        </w:rPr>
      </w:pPr>
      <w:r w:rsidRPr="00025B12">
        <w:rPr>
          <w:rFonts w:ascii="Verdana" w:hAnsi="Verdana"/>
          <w:sz w:val="16"/>
          <w:szCs w:val="16"/>
        </w:rPr>
        <w:t>Pozn: Graf zobrazuje podíl respondentů v %, kteří vybrali odpovědi „velmi“ a „středně“ na 4 stupňové škále velmi-středně-málo-vůbec.</w:t>
      </w:r>
    </w:p>
    <w:p w:rsidR="00026CCA" w:rsidRPr="00025B12" w:rsidRDefault="00026CCA" w:rsidP="000C52A6">
      <w:pPr>
        <w:jc w:val="both"/>
        <w:rPr>
          <w:rFonts w:ascii="Verdana" w:hAnsi="Verdana"/>
          <w:sz w:val="20"/>
          <w:szCs w:val="20"/>
        </w:rPr>
      </w:pPr>
      <w:r w:rsidRPr="00025B12">
        <w:rPr>
          <w:rFonts w:ascii="Verdana" w:hAnsi="Verdana"/>
          <w:sz w:val="20"/>
          <w:szCs w:val="20"/>
        </w:rPr>
        <w:lastRenderedPageBreak/>
        <w:t xml:space="preserve">Na otevřenou otázku zjišťující další doplňkové informace školy nejčastěji odpovídaly, že by uvítaly informace o poptávce rekvalifikací a kurzů zaměstnavatelů, jednotlivců a ÚP. Objevily se též návrhy na podpůrné ukazatele – např. demografická struktura populace, nezaměstnanost v regionech. Požadovány byly také informace o cenách kurzů. Několik škol explicitně uvedlo, že by uvítalo celkovou databázi nabídek dalšího vzdělávání pro celou ČR i pro kraje. Soukromí vzdělavatelé na tuto otázku odpovídali zřídka a nejasně. Závěrem můžeme shrnout, že přikládaná důležitost (a tedy i případný zájem o dané informace) se mezi školami a soukromými vzdělavateli liší, školy kladou vyšší důraz na legislativu a informace o dalším formálním vzdělávání a naopak menší důraz na informace o podnikovém vzdělávání. Soukromí zaměstnavatelé kladou vyšší důraz na informace o podnikovém vzdělávání.    </w:t>
      </w:r>
    </w:p>
    <w:p w:rsidR="00026CCA" w:rsidRPr="00025B12" w:rsidRDefault="00026CCA" w:rsidP="000C6631">
      <w:pPr>
        <w:pStyle w:val="Nadpis11"/>
        <w:outlineLvl w:val="0"/>
        <w:rPr>
          <w:i/>
          <w:sz w:val="20"/>
          <w:szCs w:val="20"/>
          <w:u w:val="single"/>
        </w:rPr>
      </w:pPr>
      <w:r w:rsidRPr="00025B12">
        <w:rPr>
          <w:i/>
          <w:sz w:val="20"/>
          <w:szCs w:val="20"/>
          <w:u w:val="single"/>
        </w:rPr>
        <w:t>Formy poptávaných informací</w:t>
      </w:r>
    </w:p>
    <w:p w:rsidR="00026CCA" w:rsidRPr="00025B12" w:rsidRDefault="00026CCA" w:rsidP="000C52A6">
      <w:pPr>
        <w:jc w:val="both"/>
        <w:rPr>
          <w:rFonts w:ascii="Verdana" w:hAnsi="Verdana"/>
          <w:sz w:val="20"/>
          <w:szCs w:val="20"/>
        </w:rPr>
      </w:pPr>
      <w:r w:rsidRPr="00025B12">
        <w:rPr>
          <w:rFonts w:ascii="Verdana" w:hAnsi="Verdana"/>
          <w:sz w:val="20"/>
          <w:szCs w:val="20"/>
        </w:rPr>
        <w:t>Dalším zjišťovaným znakem bylo členění výše zmíněných informací. Celkově se jako nejdůležitější ukazuje krajské členění. Častěji jej požadují školy než soukromí vzdělavatelé, kteří často svoji nabídkou kurzů přesahují hranice kraje (srov. kapitola „Slaďování vzdělávací nabídky s potřebami trhu práce“). Pro soukromé vzdělavatele jsou informace v krajském členění podobně důležité jako souhrnné informace za ČR. Mezinárodní srovnání je pro jednotlivé vzdělavatele méně důležité, pravděpodobně o něj bude mít zájem spíše decizní sféra (kraje, MŠMT a další).</w:t>
      </w:r>
    </w:p>
    <w:p w:rsidR="00026CCA" w:rsidRPr="00025B12" w:rsidRDefault="00026CCA" w:rsidP="000C6631">
      <w:pPr>
        <w:spacing w:after="120"/>
        <w:outlineLvl w:val="0"/>
        <w:rPr>
          <w:rFonts w:ascii="Verdana" w:hAnsi="Verdana"/>
          <w:b/>
          <w:i/>
          <w:sz w:val="20"/>
          <w:szCs w:val="20"/>
        </w:rPr>
      </w:pPr>
      <w:r w:rsidRPr="00025B12">
        <w:rPr>
          <w:rFonts w:ascii="Verdana" w:hAnsi="Verdana"/>
          <w:b/>
          <w:i/>
          <w:sz w:val="20"/>
          <w:szCs w:val="20"/>
        </w:rPr>
        <w:t>Graf 3: Jaké regionální zaměření vybraných ukazatelů je pro vás důležité? (%)</w:t>
      </w:r>
    </w:p>
    <w:p w:rsidR="00026CCA" w:rsidRPr="00025B12" w:rsidRDefault="00026CCA" w:rsidP="00CF3559">
      <w:pPr>
        <w:spacing w:before="120" w:after="120"/>
        <w:rPr>
          <w:rFonts w:ascii="Verdana" w:hAnsi="Verdana"/>
          <w:sz w:val="16"/>
          <w:szCs w:val="16"/>
        </w:rPr>
      </w:pPr>
      <w:r w:rsidRPr="00025B12">
        <w:rPr>
          <w:rFonts w:ascii="Verdana" w:hAnsi="Verdana"/>
          <w:noProof/>
          <w:sz w:val="20"/>
          <w:szCs w:val="20"/>
          <w:lang w:eastAsia="cs-CZ"/>
        </w:rPr>
        <w:object w:dxaOrig="9083" w:dyaOrig="4673">
          <v:shape id="_x0000_i1027" type="#_x0000_t75" style="width:455.4pt;height:232.85pt" o:ole="">
            <v:imagedata r:id="rId14" o:title=""/>
          </v:shape>
          <o:OLEObject Type="Embed" ProgID="Excel.Sheet.8" ShapeID="_x0000_i1027" DrawAspect="Content" ObjectID="_1380023416" r:id="rId15"/>
        </w:object>
      </w:r>
      <w:r w:rsidRPr="00025B12">
        <w:rPr>
          <w:rFonts w:ascii="Verdana" w:hAnsi="Verdana"/>
          <w:sz w:val="16"/>
          <w:szCs w:val="16"/>
        </w:rPr>
        <w:t>Pozn.: Výsledky jsou udávány v procentech pro jednotlivé skupiny, a to zvlášť pro jednotlivé otázky.</w:t>
      </w:r>
    </w:p>
    <w:p w:rsidR="00026CCA" w:rsidRPr="00025B12" w:rsidRDefault="00026CCA" w:rsidP="000C52A6">
      <w:pPr>
        <w:jc w:val="both"/>
        <w:rPr>
          <w:rFonts w:ascii="Verdana" w:hAnsi="Verdana"/>
          <w:noProof/>
          <w:sz w:val="20"/>
          <w:szCs w:val="20"/>
          <w:lang w:eastAsia="cs-CZ"/>
        </w:rPr>
      </w:pPr>
      <w:r w:rsidRPr="00025B12">
        <w:rPr>
          <w:rFonts w:ascii="Verdana" w:hAnsi="Verdana"/>
          <w:noProof/>
          <w:sz w:val="20"/>
          <w:szCs w:val="20"/>
          <w:lang w:eastAsia="cs-CZ"/>
        </w:rPr>
        <w:t>Dále byla zjišťována forma, ve které by vzdělavatelé tyto informace uvítali (</w:t>
      </w:r>
      <w:r w:rsidR="00CE7601" w:rsidRPr="00025B12">
        <w:rPr>
          <w:rFonts w:ascii="Verdana" w:hAnsi="Verdana"/>
          <w:noProof/>
          <w:sz w:val="20"/>
          <w:szCs w:val="20"/>
          <w:lang w:eastAsia="cs-CZ"/>
        </w:rPr>
        <w:t>viz graf 4</w:t>
      </w:r>
      <w:r w:rsidRPr="00025B12">
        <w:rPr>
          <w:rFonts w:ascii="Verdana" w:hAnsi="Verdana"/>
          <w:noProof/>
          <w:sz w:val="20"/>
          <w:szCs w:val="20"/>
          <w:lang w:eastAsia="cs-CZ"/>
        </w:rPr>
        <w:t>). Školy by nějčastěji uvítaly základní číselné údaje ve formě indikátorů (74%), soukromí vzdělavatelé potom krátké informační články (88%). Vzhledem k tomu, že obě kategorie jsou nejčastějšími druhými odpověďmi obou skupin, lze navhrnout obě formy poskytování informací, tedy jak v podobě číselných indikátorů, tak krátkých článků shrnujících jejich význam. O další navrhované typy informací  (podrobné analýzy, podrobné datové tabulky) má zájem necelá polovina vzdělavatelů. O podrobné analýzy přitom mají zájem zejména vysoké školy. O mikrodata má zájem 43% škol, ale jen 29% soukromých vzdělavatelů.</w:t>
      </w:r>
    </w:p>
    <w:p w:rsidR="00026CCA" w:rsidRPr="00025B12" w:rsidRDefault="00026CCA" w:rsidP="000C52A6">
      <w:pPr>
        <w:jc w:val="both"/>
        <w:rPr>
          <w:rFonts w:ascii="Verdana" w:hAnsi="Verdana"/>
          <w:noProof/>
          <w:sz w:val="20"/>
          <w:szCs w:val="20"/>
          <w:lang w:eastAsia="cs-CZ"/>
        </w:rPr>
      </w:pPr>
    </w:p>
    <w:p w:rsidR="00026CCA" w:rsidRPr="00025B12" w:rsidRDefault="00026CCA" w:rsidP="000C6631">
      <w:pPr>
        <w:spacing w:after="120"/>
        <w:jc w:val="both"/>
        <w:outlineLvl w:val="0"/>
        <w:rPr>
          <w:rFonts w:ascii="Verdana" w:hAnsi="Verdana"/>
          <w:b/>
          <w:i/>
          <w:noProof/>
          <w:sz w:val="20"/>
          <w:szCs w:val="20"/>
          <w:lang w:eastAsia="cs-CZ"/>
        </w:rPr>
      </w:pPr>
      <w:r w:rsidRPr="00025B12">
        <w:rPr>
          <w:rFonts w:ascii="Verdana" w:hAnsi="Verdana"/>
          <w:b/>
          <w:i/>
          <w:noProof/>
          <w:sz w:val="20"/>
          <w:szCs w:val="20"/>
          <w:lang w:eastAsia="cs-CZ"/>
        </w:rPr>
        <w:t>Graf 4: Jaké formy informací preferujete?</w:t>
      </w:r>
    </w:p>
    <w:p w:rsidR="00026CCA" w:rsidRPr="00025B12" w:rsidRDefault="00026CCA" w:rsidP="00CF3559">
      <w:pPr>
        <w:spacing w:after="120"/>
        <w:jc w:val="both"/>
        <w:rPr>
          <w:rFonts w:ascii="Verdana" w:hAnsi="Verdana"/>
          <w:sz w:val="20"/>
          <w:szCs w:val="20"/>
        </w:rPr>
      </w:pPr>
      <w:r w:rsidRPr="00025B12">
        <w:rPr>
          <w:rFonts w:ascii="Verdana" w:hAnsi="Verdana"/>
          <w:sz w:val="20"/>
          <w:szCs w:val="20"/>
        </w:rPr>
        <w:object w:dxaOrig="8964" w:dyaOrig="4089">
          <v:shape id="_x0000_i1028" type="#_x0000_t75" style="width:447.9pt;height:203.85pt" o:ole="">
            <v:imagedata r:id="rId16" o:title=""/>
          </v:shape>
          <o:OLEObject Type="Embed" ProgID="Excel.Sheet.8" ShapeID="_x0000_i1028" DrawAspect="Content" ObjectID="_1380023417" r:id="rId17"/>
        </w:object>
      </w:r>
    </w:p>
    <w:p w:rsidR="00026CCA" w:rsidRPr="00025B12" w:rsidRDefault="00026CCA" w:rsidP="000C6631">
      <w:pPr>
        <w:spacing w:after="120"/>
        <w:jc w:val="both"/>
        <w:outlineLvl w:val="0"/>
        <w:rPr>
          <w:rFonts w:ascii="Verdana" w:hAnsi="Verdana"/>
          <w:noProof/>
          <w:sz w:val="16"/>
          <w:szCs w:val="16"/>
          <w:lang w:eastAsia="cs-CZ"/>
        </w:rPr>
      </w:pPr>
      <w:r w:rsidRPr="00025B12">
        <w:rPr>
          <w:rFonts w:ascii="Verdana" w:hAnsi="Verdana"/>
          <w:noProof/>
          <w:sz w:val="16"/>
          <w:szCs w:val="16"/>
          <w:lang w:eastAsia="cs-CZ"/>
        </w:rPr>
        <w:t>Pozn.: Respondent mohl vybrat libovolné množství odpovědí</w:t>
      </w:r>
    </w:p>
    <w:p w:rsidR="00026CCA" w:rsidRPr="00025B12" w:rsidRDefault="00026CCA" w:rsidP="00026CCA">
      <w:pPr>
        <w:ind w:left="360"/>
        <w:jc w:val="both"/>
        <w:rPr>
          <w:rFonts w:ascii="Verdana" w:hAnsi="Verdana"/>
          <w:noProof/>
          <w:sz w:val="20"/>
          <w:szCs w:val="20"/>
          <w:lang w:eastAsia="cs-CZ"/>
        </w:rPr>
      </w:pPr>
    </w:p>
    <w:p w:rsidR="00026CCA" w:rsidRPr="00025B12" w:rsidRDefault="00026CCA" w:rsidP="004B01CA">
      <w:pPr>
        <w:jc w:val="both"/>
        <w:rPr>
          <w:rFonts w:ascii="Verdana" w:hAnsi="Verdana"/>
          <w:b/>
          <w:noProof/>
          <w:sz w:val="24"/>
          <w:szCs w:val="24"/>
          <w:lang w:eastAsia="cs-CZ"/>
        </w:rPr>
      </w:pPr>
      <w:bookmarkStart w:id="23" w:name="_Toc289351172"/>
      <w:bookmarkStart w:id="24" w:name="_Toc289351254"/>
      <w:r w:rsidRPr="00025B12">
        <w:rPr>
          <w:rFonts w:ascii="Verdana" w:hAnsi="Verdana"/>
          <w:b/>
          <w:noProof/>
          <w:sz w:val="24"/>
          <w:szCs w:val="24"/>
          <w:lang w:eastAsia="cs-CZ"/>
        </w:rPr>
        <w:t>Závěr</w:t>
      </w:r>
      <w:bookmarkEnd w:id="23"/>
      <w:bookmarkEnd w:id="24"/>
    </w:p>
    <w:p w:rsidR="00026CCA" w:rsidRPr="00025B12" w:rsidRDefault="00026CCA" w:rsidP="0099681A">
      <w:pPr>
        <w:jc w:val="both"/>
        <w:rPr>
          <w:rFonts w:ascii="Verdana" w:hAnsi="Verdana"/>
          <w:noProof/>
          <w:sz w:val="20"/>
          <w:szCs w:val="20"/>
          <w:lang w:eastAsia="cs-CZ"/>
        </w:rPr>
      </w:pPr>
      <w:r w:rsidRPr="00025B12">
        <w:rPr>
          <w:rFonts w:ascii="Verdana" w:hAnsi="Verdana"/>
          <w:noProof/>
          <w:sz w:val="20"/>
          <w:szCs w:val="20"/>
          <w:lang w:eastAsia="cs-CZ"/>
        </w:rPr>
        <w:t xml:space="preserve">Anketa potvrdila, že poptávka po systému monitoringu dalšího vzdělávání zde existuje. Informační potřeby škol a soukromých vzdělavatelů se liší a </w:t>
      </w:r>
      <w:r w:rsidR="00793D59" w:rsidRPr="00025B12">
        <w:rPr>
          <w:rFonts w:ascii="Verdana" w:hAnsi="Verdana"/>
          <w:noProof/>
          <w:sz w:val="20"/>
          <w:szCs w:val="20"/>
          <w:lang w:eastAsia="cs-CZ"/>
        </w:rPr>
        <w:t>rovněž</w:t>
      </w:r>
      <w:r w:rsidRPr="00025B12">
        <w:rPr>
          <w:rFonts w:ascii="Verdana" w:hAnsi="Verdana"/>
          <w:noProof/>
          <w:sz w:val="20"/>
          <w:szCs w:val="20"/>
          <w:lang w:eastAsia="cs-CZ"/>
        </w:rPr>
        <w:t xml:space="preserve"> další cílové skupiny (decizní sféra) </w:t>
      </w:r>
      <w:r w:rsidR="00793D59" w:rsidRPr="00025B12">
        <w:rPr>
          <w:rFonts w:ascii="Verdana" w:hAnsi="Verdana"/>
          <w:noProof/>
          <w:sz w:val="20"/>
          <w:szCs w:val="20"/>
          <w:lang w:eastAsia="cs-CZ"/>
        </w:rPr>
        <w:t>mají požadavky odlišné (viz kap. 3.1.2)</w:t>
      </w:r>
      <w:r w:rsidRPr="00025B12">
        <w:rPr>
          <w:rFonts w:ascii="Verdana" w:hAnsi="Verdana"/>
          <w:noProof/>
          <w:sz w:val="20"/>
          <w:szCs w:val="20"/>
          <w:lang w:eastAsia="cs-CZ"/>
        </w:rPr>
        <w:t>. Systém monitoringu by měl být proto dostatečně diferencovaný, aby dokázal uspokojit informační potřeby všech těchto cílových skupin.</w:t>
      </w:r>
    </w:p>
    <w:p w:rsidR="00026CCA" w:rsidRPr="00025B12" w:rsidRDefault="00026CCA" w:rsidP="0099681A">
      <w:pPr>
        <w:jc w:val="both"/>
        <w:rPr>
          <w:rFonts w:ascii="Verdana" w:hAnsi="Verdana"/>
          <w:noProof/>
          <w:sz w:val="20"/>
          <w:szCs w:val="20"/>
          <w:lang w:eastAsia="cs-CZ"/>
        </w:rPr>
      </w:pPr>
      <w:r w:rsidRPr="00025B12">
        <w:rPr>
          <w:rFonts w:ascii="Verdana" w:hAnsi="Verdana"/>
          <w:noProof/>
          <w:sz w:val="20"/>
          <w:szCs w:val="20"/>
          <w:lang w:eastAsia="cs-CZ"/>
        </w:rPr>
        <w:t xml:space="preserve">Anketa poskytla oporu pro určitý rating indikátorů z hlediska potřeb uživatelů a také informaci o preferovaných formách předávání. Co se týče dalších připomínek k monitorování, obě sledované skupiny shodně uvádějí, že je potřeba monitoring koordinovat a, slovy jednoho respondenta, „přejít od slov k činům“.  </w:t>
      </w:r>
    </w:p>
    <w:p w:rsidR="00D505BD" w:rsidRPr="00025B12" w:rsidRDefault="00D505BD" w:rsidP="0099681A">
      <w:pPr>
        <w:jc w:val="both"/>
        <w:rPr>
          <w:rFonts w:ascii="Verdana" w:hAnsi="Verdana"/>
          <w:noProof/>
          <w:sz w:val="20"/>
          <w:szCs w:val="20"/>
          <w:lang w:eastAsia="cs-CZ"/>
        </w:rPr>
      </w:pPr>
    </w:p>
    <w:p w:rsidR="005E2CC2" w:rsidRPr="00025B12" w:rsidRDefault="00447CF6" w:rsidP="004B01CA">
      <w:pPr>
        <w:pStyle w:val="nadkonc3"/>
        <w:numPr>
          <w:ilvl w:val="2"/>
          <w:numId w:val="10"/>
        </w:numPr>
        <w:ind w:left="426" w:hanging="363"/>
        <w:rPr>
          <w:caps/>
        </w:rPr>
      </w:pPr>
      <w:bookmarkStart w:id="25" w:name="_Toc304898609"/>
      <w:r w:rsidRPr="00025B12">
        <w:rPr>
          <w:caps/>
        </w:rPr>
        <w:t>názory</w:t>
      </w:r>
      <w:r w:rsidR="005E2CC2" w:rsidRPr="00025B12">
        <w:rPr>
          <w:caps/>
        </w:rPr>
        <w:t xml:space="preserve"> </w:t>
      </w:r>
      <w:r w:rsidRPr="00025B12">
        <w:rPr>
          <w:caps/>
        </w:rPr>
        <w:t>decizní sféry</w:t>
      </w:r>
      <w:r w:rsidR="005E2CC2" w:rsidRPr="00025B12">
        <w:rPr>
          <w:caps/>
        </w:rPr>
        <w:t xml:space="preserve"> – výsledky workshopů a </w:t>
      </w:r>
      <w:r w:rsidRPr="00025B12">
        <w:rPr>
          <w:caps/>
        </w:rPr>
        <w:t>připomínky</w:t>
      </w:r>
      <w:r w:rsidR="005E2CC2" w:rsidRPr="00025B12">
        <w:rPr>
          <w:caps/>
        </w:rPr>
        <w:t xml:space="preserve"> expertů</w:t>
      </w:r>
      <w:bookmarkEnd w:id="25"/>
    </w:p>
    <w:p w:rsidR="00793D59" w:rsidRPr="00025B12" w:rsidRDefault="00101959" w:rsidP="007703E7">
      <w:pPr>
        <w:jc w:val="both"/>
        <w:rPr>
          <w:rFonts w:ascii="Verdana" w:hAnsi="Verdana"/>
          <w:noProof/>
          <w:sz w:val="20"/>
          <w:szCs w:val="20"/>
        </w:rPr>
      </w:pPr>
      <w:r w:rsidRPr="00025B12">
        <w:rPr>
          <w:rFonts w:ascii="Verdana" w:hAnsi="Verdana"/>
          <w:noProof/>
          <w:sz w:val="20"/>
          <w:szCs w:val="20"/>
        </w:rPr>
        <w:t xml:space="preserve">Cílová skupina poteciálních uživatelů systému monitoringu zahrnuje kromě i další subjekty - představitele decizní sféry (zástupci školských odborů krajských úřadů, zástupci MŠMT), sociální partnery a další odbornou veřejnost. U nich jsou informační potřeby zjišťovány pruběžně prostřednictvím workshopů a komunikací s expertní skupinou. </w:t>
      </w:r>
    </w:p>
    <w:p w:rsidR="007703E7" w:rsidRPr="00025B12" w:rsidRDefault="007703E7" w:rsidP="007703E7">
      <w:pPr>
        <w:jc w:val="both"/>
        <w:rPr>
          <w:rFonts w:ascii="Verdana" w:hAnsi="Verdana"/>
          <w:noProof/>
          <w:sz w:val="20"/>
          <w:szCs w:val="20"/>
          <w:lang w:eastAsia="cs-CZ"/>
        </w:rPr>
      </w:pPr>
      <w:r w:rsidRPr="00025B12">
        <w:rPr>
          <w:rFonts w:ascii="Verdana" w:hAnsi="Verdana"/>
          <w:noProof/>
          <w:sz w:val="20"/>
          <w:szCs w:val="20"/>
          <w:lang w:eastAsia="cs-CZ"/>
        </w:rPr>
        <w:t xml:space="preserve">V průběhu aktivity se uskutečnily </w:t>
      </w:r>
      <w:r w:rsidR="00793D59" w:rsidRPr="00025B12">
        <w:rPr>
          <w:rFonts w:ascii="Verdana" w:hAnsi="Verdana"/>
          <w:noProof/>
          <w:sz w:val="20"/>
          <w:szCs w:val="20"/>
          <w:lang w:eastAsia="cs-CZ"/>
        </w:rPr>
        <w:t>dva</w:t>
      </w:r>
      <w:r w:rsidRPr="00025B12">
        <w:rPr>
          <w:rFonts w:ascii="Verdana" w:hAnsi="Verdana"/>
          <w:noProof/>
          <w:sz w:val="20"/>
          <w:szCs w:val="20"/>
          <w:lang w:eastAsia="cs-CZ"/>
        </w:rPr>
        <w:t xml:space="preserve"> workshopy, jejichž cílem bylo zjišťovat zájem o informace u </w:t>
      </w:r>
      <w:r w:rsidR="00A36715" w:rsidRPr="00025B12">
        <w:rPr>
          <w:rFonts w:ascii="Verdana" w:hAnsi="Verdana"/>
          <w:noProof/>
          <w:sz w:val="20"/>
          <w:szCs w:val="20"/>
          <w:lang w:eastAsia="cs-CZ"/>
        </w:rPr>
        <w:t>dalších cílových skupin – zejména u</w:t>
      </w:r>
      <w:r w:rsidR="00793D59" w:rsidRPr="00025B12">
        <w:rPr>
          <w:rFonts w:ascii="Verdana" w:hAnsi="Verdana"/>
          <w:noProof/>
          <w:sz w:val="20"/>
          <w:szCs w:val="20"/>
          <w:lang w:eastAsia="cs-CZ"/>
        </w:rPr>
        <w:t xml:space="preserve"> </w:t>
      </w:r>
      <w:r w:rsidR="00A36715" w:rsidRPr="00025B12">
        <w:rPr>
          <w:rFonts w:ascii="Verdana" w:hAnsi="Verdana"/>
          <w:noProof/>
          <w:sz w:val="20"/>
          <w:szCs w:val="20"/>
          <w:lang w:eastAsia="cs-CZ"/>
        </w:rPr>
        <w:t>decizní sféry na krajské a regionální úrovni. Kromě toho byli zástupci této cílové skupiny vyzváni prostřednictvím e-mailu k</w:t>
      </w:r>
      <w:r w:rsidR="00E14C1B" w:rsidRPr="00025B12">
        <w:rPr>
          <w:rFonts w:ascii="Verdana" w:hAnsi="Verdana"/>
          <w:noProof/>
          <w:sz w:val="20"/>
          <w:szCs w:val="20"/>
          <w:lang w:eastAsia="cs-CZ"/>
        </w:rPr>
        <w:t> tomu, aby zaslali vyjádření a připomínky k průběžné verzi návrhu.</w:t>
      </w:r>
    </w:p>
    <w:p w:rsidR="00101959" w:rsidRPr="00025B12" w:rsidRDefault="00101959" w:rsidP="004B01CA">
      <w:pPr>
        <w:jc w:val="both"/>
        <w:rPr>
          <w:rFonts w:ascii="Verdana" w:hAnsi="Verdana"/>
          <w:b/>
          <w:noProof/>
          <w:sz w:val="24"/>
          <w:szCs w:val="24"/>
          <w:lang w:eastAsia="cs-CZ"/>
        </w:rPr>
      </w:pPr>
    </w:p>
    <w:p w:rsidR="00101959" w:rsidRPr="00025B12" w:rsidRDefault="00101959" w:rsidP="004B01CA">
      <w:pPr>
        <w:jc w:val="both"/>
        <w:rPr>
          <w:rFonts w:ascii="Verdana" w:hAnsi="Verdana"/>
          <w:b/>
          <w:noProof/>
          <w:sz w:val="24"/>
          <w:szCs w:val="24"/>
          <w:lang w:eastAsia="cs-CZ"/>
        </w:rPr>
      </w:pPr>
    </w:p>
    <w:p w:rsidR="007D36A8" w:rsidRPr="00025B12" w:rsidRDefault="007D36A8" w:rsidP="004B01CA">
      <w:pPr>
        <w:jc w:val="both"/>
        <w:rPr>
          <w:rFonts w:ascii="Verdana" w:hAnsi="Verdana"/>
          <w:b/>
          <w:noProof/>
          <w:sz w:val="24"/>
          <w:szCs w:val="24"/>
          <w:lang w:eastAsia="cs-CZ"/>
        </w:rPr>
      </w:pPr>
      <w:r w:rsidRPr="00025B12">
        <w:rPr>
          <w:rFonts w:ascii="Verdana" w:hAnsi="Verdana"/>
          <w:b/>
          <w:noProof/>
          <w:sz w:val="24"/>
          <w:szCs w:val="24"/>
          <w:lang w:eastAsia="cs-CZ"/>
        </w:rPr>
        <w:t>Workshop</w:t>
      </w:r>
      <w:r w:rsidR="00101959" w:rsidRPr="00025B12">
        <w:rPr>
          <w:rFonts w:ascii="Verdana" w:hAnsi="Verdana"/>
          <w:b/>
          <w:noProof/>
          <w:sz w:val="24"/>
          <w:szCs w:val="24"/>
          <w:lang w:eastAsia="cs-CZ"/>
        </w:rPr>
        <w:t>y</w:t>
      </w:r>
      <w:r w:rsidRPr="00025B12">
        <w:rPr>
          <w:rFonts w:ascii="Verdana" w:hAnsi="Verdana"/>
          <w:b/>
          <w:noProof/>
          <w:sz w:val="24"/>
          <w:szCs w:val="24"/>
          <w:lang w:eastAsia="cs-CZ"/>
        </w:rPr>
        <w:t xml:space="preserve"> expertní skupiny</w:t>
      </w:r>
    </w:p>
    <w:p w:rsidR="00101959" w:rsidRPr="00025B12" w:rsidRDefault="00101959" w:rsidP="004B01CA">
      <w:pPr>
        <w:jc w:val="both"/>
        <w:rPr>
          <w:rFonts w:ascii="Verdana" w:hAnsi="Verdana"/>
          <w:b/>
          <w:noProof/>
          <w:sz w:val="24"/>
          <w:szCs w:val="24"/>
          <w:lang w:eastAsia="cs-CZ"/>
        </w:rPr>
      </w:pPr>
      <w:r w:rsidRPr="00025B12">
        <w:rPr>
          <w:rFonts w:ascii="Verdana" w:hAnsi="Verdana"/>
          <w:noProof/>
          <w:sz w:val="20"/>
          <w:szCs w:val="20"/>
        </w:rPr>
        <w:t>Expertní skupina zahrnuje zástupce MŠMT, MPSV, AIVD a dalších institucí. N</w:t>
      </w:r>
      <w:r w:rsidR="00B04B1E" w:rsidRPr="00025B12">
        <w:rPr>
          <w:rFonts w:ascii="Verdana" w:hAnsi="Verdana"/>
          <w:noProof/>
          <w:sz w:val="20"/>
          <w:szCs w:val="20"/>
        </w:rPr>
        <w:t xml:space="preserve">a workshopu uskutečněném 30.11., jehož hlavním tématem byla analýza informačních zdrojů  (aktivita III.A), byl </w:t>
      </w:r>
      <w:r w:rsidRPr="00025B12">
        <w:rPr>
          <w:rFonts w:ascii="Verdana" w:hAnsi="Verdana"/>
          <w:noProof/>
          <w:sz w:val="20"/>
          <w:szCs w:val="20"/>
        </w:rPr>
        <w:t>představen i p</w:t>
      </w:r>
      <w:r w:rsidR="00B04B1E" w:rsidRPr="00025B12">
        <w:rPr>
          <w:rFonts w:ascii="Verdana" w:hAnsi="Verdana"/>
          <w:noProof/>
          <w:sz w:val="20"/>
          <w:szCs w:val="20"/>
        </w:rPr>
        <w:t>rvní pracovní</w:t>
      </w:r>
      <w:r w:rsidRPr="00025B12">
        <w:rPr>
          <w:rFonts w:ascii="Verdana" w:hAnsi="Verdana"/>
          <w:noProof/>
          <w:sz w:val="20"/>
          <w:szCs w:val="20"/>
        </w:rPr>
        <w:t xml:space="preserve"> návrh systému indikátorů, ke kterému experti vznesli své podněty. Ty se týkaly například požadavku na začlenění informací o vzdělávání starší populace, možnosti rozšířit informace o uznávání výsledků celoživotního učení i o počtech složených M-zkoušek a potřeby monitoringu kvality dalšího vzdělávání.</w:t>
      </w:r>
    </w:p>
    <w:p w:rsidR="00364280" w:rsidRPr="00025B12" w:rsidRDefault="00A36715" w:rsidP="00364280">
      <w:pPr>
        <w:jc w:val="both"/>
        <w:rPr>
          <w:rFonts w:ascii="Verdana" w:eastAsiaTheme="minorHAnsi" w:hAnsi="Verdana" w:cstheme="minorBidi"/>
          <w:sz w:val="20"/>
          <w:szCs w:val="20"/>
        </w:rPr>
      </w:pPr>
      <w:r w:rsidRPr="00025B12">
        <w:rPr>
          <w:rFonts w:ascii="Verdana" w:hAnsi="Verdana"/>
          <w:b/>
          <w:noProof/>
          <w:sz w:val="20"/>
          <w:szCs w:val="20"/>
          <w:u w:val="single"/>
          <w:lang w:eastAsia="cs-CZ"/>
        </w:rPr>
        <w:t>Workshop expertní skupiny</w:t>
      </w:r>
      <w:r w:rsidR="00101959" w:rsidRPr="00025B12">
        <w:rPr>
          <w:rFonts w:ascii="Verdana" w:hAnsi="Verdana"/>
          <w:b/>
          <w:noProof/>
          <w:sz w:val="20"/>
          <w:szCs w:val="20"/>
          <w:u w:val="single"/>
          <w:lang w:eastAsia="cs-CZ"/>
        </w:rPr>
        <w:t xml:space="preserve"> zaměřený specificky na ověření systému indikátorů</w:t>
      </w:r>
      <w:r w:rsidR="004A2577" w:rsidRPr="00025B12">
        <w:rPr>
          <w:rFonts w:ascii="Verdana" w:hAnsi="Verdana"/>
          <w:noProof/>
          <w:sz w:val="20"/>
          <w:szCs w:val="20"/>
          <w:lang w:eastAsia="cs-CZ"/>
        </w:rPr>
        <w:t xml:space="preserve"> se uskutečnil </w:t>
      </w:r>
      <w:r w:rsidR="00364280" w:rsidRPr="00025B12">
        <w:rPr>
          <w:rFonts w:ascii="Verdana" w:hAnsi="Verdana"/>
          <w:noProof/>
          <w:sz w:val="20"/>
          <w:szCs w:val="20"/>
          <w:lang w:eastAsia="cs-CZ"/>
        </w:rPr>
        <w:t xml:space="preserve">17.6. 2011 za účasti poskytovatelů dat i uživatelů z centrální úrovně. Přítomni byli zástupci MŠMT, NÚOV, MPSV, ČSÚ, ÚIV, AIVD a Treximy. </w:t>
      </w:r>
      <w:r w:rsidR="00364280" w:rsidRPr="00025B12">
        <w:rPr>
          <w:rFonts w:ascii="Verdana" w:eastAsiaTheme="minorHAnsi" w:hAnsi="Verdana" w:cstheme="minorBidi"/>
          <w:sz w:val="20"/>
          <w:szCs w:val="20"/>
        </w:rPr>
        <w:t xml:space="preserve">Tématem workshopu byla diskuze o návrzích indikátorů o DV. Představena a diskutována byla celková koncepce systému a strategie pro jeho konsolidaci, metodika monitoringu nabídky dalšího neformálního vzdělávání a další vybrané okruhy indikátorů. </w:t>
      </w:r>
    </w:p>
    <w:p w:rsidR="00364280" w:rsidRPr="00025B12" w:rsidRDefault="00364280" w:rsidP="00364280">
      <w:pPr>
        <w:jc w:val="both"/>
        <w:rPr>
          <w:rFonts w:ascii="Verdana" w:eastAsiaTheme="minorHAnsi" w:hAnsi="Verdana" w:cstheme="minorBidi"/>
          <w:sz w:val="20"/>
          <w:szCs w:val="20"/>
        </w:rPr>
      </w:pPr>
      <w:r w:rsidRPr="00025B12">
        <w:rPr>
          <w:rFonts w:ascii="Verdana" w:eastAsiaTheme="minorHAnsi" w:hAnsi="Verdana" w:cstheme="minorBidi"/>
          <w:sz w:val="20"/>
          <w:szCs w:val="20"/>
        </w:rPr>
        <w:t>Expertní skupině byly navrženy 3 formy, jak konsolidovat výchozí návrh 81 indikátorů:</w:t>
      </w:r>
    </w:p>
    <w:p w:rsidR="00364280" w:rsidRPr="00025B12" w:rsidRDefault="00364280" w:rsidP="00641D19">
      <w:pPr>
        <w:numPr>
          <w:ilvl w:val="0"/>
          <w:numId w:val="31"/>
        </w:numPr>
        <w:contextualSpacing/>
        <w:jc w:val="both"/>
        <w:rPr>
          <w:rFonts w:ascii="Verdana" w:eastAsiaTheme="minorHAnsi" w:hAnsi="Verdana" w:cstheme="minorBidi"/>
          <w:sz w:val="20"/>
          <w:szCs w:val="20"/>
        </w:rPr>
      </w:pPr>
      <w:r w:rsidRPr="00025B12">
        <w:rPr>
          <w:rFonts w:ascii="Verdana" w:eastAsiaTheme="minorHAnsi" w:hAnsi="Verdana" w:cstheme="minorBidi"/>
          <w:sz w:val="20"/>
          <w:szCs w:val="20"/>
        </w:rPr>
        <w:t>Odstranění pouze indikátorů, které se vzájemně překrývají a zbylé indikátory ponechat ve své původní podobě</w:t>
      </w:r>
    </w:p>
    <w:p w:rsidR="00364280" w:rsidRPr="00025B12" w:rsidRDefault="00364280" w:rsidP="00641D19">
      <w:pPr>
        <w:numPr>
          <w:ilvl w:val="0"/>
          <w:numId w:val="31"/>
        </w:numPr>
        <w:contextualSpacing/>
        <w:jc w:val="both"/>
        <w:rPr>
          <w:rFonts w:ascii="Verdana" w:eastAsiaTheme="minorHAnsi" w:hAnsi="Verdana" w:cstheme="minorBidi"/>
          <w:sz w:val="20"/>
          <w:szCs w:val="20"/>
        </w:rPr>
      </w:pPr>
      <w:r w:rsidRPr="00025B12">
        <w:rPr>
          <w:rFonts w:ascii="Verdana" w:eastAsiaTheme="minorHAnsi" w:hAnsi="Verdana" w:cstheme="minorBidi"/>
          <w:sz w:val="20"/>
          <w:szCs w:val="20"/>
        </w:rPr>
        <w:t>Rozdělení indikátorů na klíčové a tzv. doplňkové</w:t>
      </w:r>
    </w:p>
    <w:p w:rsidR="00364280" w:rsidRPr="00025B12" w:rsidRDefault="00364280" w:rsidP="00641D19">
      <w:pPr>
        <w:numPr>
          <w:ilvl w:val="0"/>
          <w:numId w:val="31"/>
        </w:numPr>
        <w:contextualSpacing/>
        <w:jc w:val="both"/>
        <w:rPr>
          <w:rFonts w:ascii="Verdana" w:eastAsiaTheme="minorHAnsi" w:hAnsi="Verdana" w:cstheme="minorBidi"/>
          <w:sz w:val="20"/>
          <w:szCs w:val="20"/>
        </w:rPr>
      </w:pPr>
      <w:r w:rsidRPr="00025B12">
        <w:rPr>
          <w:rFonts w:ascii="Verdana" w:eastAsiaTheme="minorHAnsi" w:hAnsi="Verdana" w:cstheme="minorBidi"/>
          <w:sz w:val="20"/>
          <w:szCs w:val="20"/>
        </w:rPr>
        <w:t>Výpočet souhrnných indikátorů mapující jednotlivé oblasti.</w:t>
      </w:r>
    </w:p>
    <w:p w:rsidR="00364280" w:rsidRPr="00025B12" w:rsidRDefault="00364280" w:rsidP="00364280">
      <w:pPr>
        <w:jc w:val="both"/>
        <w:rPr>
          <w:rFonts w:ascii="Verdana" w:eastAsiaTheme="minorHAnsi" w:hAnsi="Verdana" w:cstheme="minorBidi"/>
          <w:sz w:val="20"/>
          <w:szCs w:val="20"/>
        </w:rPr>
      </w:pPr>
      <w:r w:rsidRPr="00025B12">
        <w:rPr>
          <w:rFonts w:ascii="Verdana" w:eastAsiaTheme="minorHAnsi" w:hAnsi="Verdana" w:cstheme="minorBidi"/>
          <w:sz w:val="20"/>
          <w:szCs w:val="20"/>
        </w:rPr>
        <w:t>Většina expertů se vyslovila pro strategii rozdělení indikátorů na klíčové a doplňkové</w:t>
      </w:r>
      <w:r w:rsidR="001C15AD" w:rsidRPr="00025B12">
        <w:rPr>
          <w:rFonts w:ascii="Verdana" w:eastAsiaTheme="minorHAnsi" w:hAnsi="Verdana" w:cstheme="minorBidi"/>
          <w:sz w:val="20"/>
          <w:szCs w:val="20"/>
        </w:rPr>
        <w:t>, čemuž by měl předcházet krok odstranění indikátorů, které se navzájem tematicky překrývají.</w:t>
      </w:r>
    </w:p>
    <w:p w:rsidR="00364280" w:rsidRPr="00025B12" w:rsidRDefault="00364280" w:rsidP="007703E7">
      <w:pPr>
        <w:jc w:val="both"/>
        <w:rPr>
          <w:rFonts w:ascii="Verdana" w:hAnsi="Verdana"/>
          <w:sz w:val="20"/>
          <w:szCs w:val="20"/>
        </w:rPr>
      </w:pPr>
      <w:r w:rsidRPr="00025B12">
        <w:rPr>
          <w:rFonts w:ascii="Verdana" w:hAnsi="Verdana"/>
          <w:sz w:val="20"/>
          <w:szCs w:val="20"/>
        </w:rPr>
        <w:t>Dále byly shromážděny připomínky k vybraným skupinám indikátorů</w:t>
      </w:r>
      <w:r w:rsidR="00171D96" w:rsidRPr="00025B12">
        <w:rPr>
          <w:rFonts w:ascii="Verdana" w:hAnsi="Verdana"/>
          <w:sz w:val="20"/>
          <w:szCs w:val="20"/>
        </w:rPr>
        <w:t>.</w:t>
      </w:r>
      <w:r w:rsidRPr="00025B12">
        <w:rPr>
          <w:rFonts w:ascii="Verdana" w:hAnsi="Verdana"/>
          <w:sz w:val="20"/>
          <w:szCs w:val="20"/>
        </w:rPr>
        <w:t xml:space="preserve"> </w:t>
      </w:r>
      <w:r w:rsidR="00171D96" w:rsidRPr="00025B12">
        <w:rPr>
          <w:rFonts w:ascii="Verdana" w:hAnsi="Verdana"/>
          <w:sz w:val="20"/>
          <w:szCs w:val="20"/>
        </w:rPr>
        <w:t xml:space="preserve">Podrobněji byla diskutována problematika monitoringu nabídky dalšího neformálního vzdělávání, problém regionálního srovnání u podnikových šetření, kvality dalšího vzdělávání, indikátorů pro specifické skupiny a monitoringu rekvalifikací. Názory expertní skupiny </w:t>
      </w:r>
      <w:r w:rsidRPr="00025B12">
        <w:rPr>
          <w:rFonts w:ascii="Verdana" w:hAnsi="Verdana"/>
          <w:sz w:val="20"/>
          <w:szCs w:val="20"/>
        </w:rPr>
        <w:t>jsou zohledněny v konečném systému popsaném v kapitole 3</w:t>
      </w:r>
      <w:r w:rsidR="00171D96" w:rsidRPr="00025B12">
        <w:rPr>
          <w:rFonts w:ascii="Verdana" w:hAnsi="Verdana"/>
          <w:sz w:val="20"/>
          <w:szCs w:val="20"/>
        </w:rPr>
        <w:t xml:space="preserve">, podrobnější přehled připomínek je možné dohledat v zápise z workshopu </w:t>
      </w:r>
      <w:r w:rsidR="001669EB" w:rsidRPr="00025B12">
        <w:rPr>
          <w:rFonts w:ascii="Verdana" w:hAnsi="Verdana"/>
          <w:sz w:val="20"/>
          <w:szCs w:val="20"/>
        </w:rPr>
        <w:t>W6</w:t>
      </w:r>
      <w:r w:rsidRPr="00025B12">
        <w:rPr>
          <w:rFonts w:ascii="Verdana" w:hAnsi="Verdana"/>
          <w:sz w:val="20"/>
          <w:szCs w:val="20"/>
        </w:rPr>
        <w:t>.</w:t>
      </w:r>
      <w:r w:rsidR="00171D96" w:rsidRPr="00025B12">
        <w:rPr>
          <w:rFonts w:ascii="Verdana" w:hAnsi="Verdana"/>
          <w:sz w:val="20"/>
          <w:szCs w:val="20"/>
        </w:rPr>
        <w:t xml:space="preserve"> </w:t>
      </w:r>
    </w:p>
    <w:p w:rsidR="007D36A8" w:rsidRPr="00025B12" w:rsidRDefault="007D36A8" w:rsidP="004B01CA">
      <w:pPr>
        <w:jc w:val="both"/>
        <w:rPr>
          <w:rFonts w:ascii="Verdana" w:hAnsi="Verdana"/>
          <w:b/>
          <w:noProof/>
          <w:sz w:val="24"/>
          <w:szCs w:val="24"/>
          <w:lang w:eastAsia="cs-CZ"/>
        </w:rPr>
      </w:pPr>
      <w:r w:rsidRPr="00025B12">
        <w:rPr>
          <w:rFonts w:ascii="Verdana" w:hAnsi="Verdana"/>
          <w:b/>
          <w:noProof/>
          <w:sz w:val="24"/>
          <w:szCs w:val="24"/>
          <w:lang w:eastAsia="cs-CZ"/>
        </w:rPr>
        <w:t>Workshop se zástupci regionů</w:t>
      </w:r>
    </w:p>
    <w:p w:rsidR="00A36715" w:rsidRPr="00025B12" w:rsidRDefault="00293D1D" w:rsidP="006A70D2">
      <w:pPr>
        <w:jc w:val="both"/>
        <w:rPr>
          <w:rFonts w:ascii="Verdana" w:hAnsi="Verdana"/>
          <w:noProof/>
          <w:sz w:val="20"/>
          <w:szCs w:val="20"/>
          <w:lang w:eastAsia="cs-CZ"/>
        </w:rPr>
      </w:pPr>
      <w:r w:rsidRPr="00025B12">
        <w:rPr>
          <w:rFonts w:ascii="Verdana" w:hAnsi="Verdana"/>
          <w:noProof/>
          <w:sz w:val="20"/>
          <w:szCs w:val="20"/>
          <w:lang w:eastAsia="cs-CZ"/>
        </w:rPr>
        <w:t xml:space="preserve">Workshop se zástupci regionů k monitoringu dalšího vzdělávání se uskutečnil v rámci </w:t>
      </w:r>
      <w:r w:rsidR="00516253" w:rsidRPr="00025B12">
        <w:rPr>
          <w:rFonts w:ascii="Verdana" w:hAnsi="Verdana"/>
          <w:noProof/>
          <w:sz w:val="20"/>
          <w:szCs w:val="20"/>
          <w:lang w:eastAsia="cs-CZ"/>
        </w:rPr>
        <w:t>dvacáté</w:t>
      </w:r>
      <w:r w:rsidR="007D4BDC" w:rsidRPr="00025B12">
        <w:rPr>
          <w:rFonts w:ascii="Verdana" w:hAnsi="Verdana"/>
          <w:noProof/>
          <w:sz w:val="20"/>
          <w:szCs w:val="20"/>
          <w:lang w:eastAsia="cs-CZ"/>
        </w:rPr>
        <w:t>ho čtvrtého setkání zástupců krajů k problematice rozvoje lidských zdrojů v krajích ČR konaném 30.6. v</w:t>
      </w:r>
      <w:r w:rsidR="00793D59" w:rsidRPr="00025B12">
        <w:rPr>
          <w:rFonts w:ascii="Verdana" w:hAnsi="Verdana"/>
          <w:noProof/>
          <w:sz w:val="20"/>
          <w:szCs w:val="20"/>
          <w:lang w:eastAsia="cs-CZ"/>
        </w:rPr>
        <w:t> </w:t>
      </w:r>
      <w:r w:rsidR="007D4BDC" w:rsidRPr="00025B12">
        <w:rPr>
          <w:rFonts w:ascii="Verdana" w:hAnsi="Verdana"/>
          <w:noProof/>
          <w:sz w:val="20"/>
          <w:szCs w:val="20"/>
          <w:lang w:eastAsia="cs-CZ"/>
        </w:rPr>
        <w:t>Jihlavě</w:t>
      </w:r>
      <w:r w:rsidR="00793D59" w:rsidRPr="00025B12">
        <w:rPr>
          <w:rFonts w:ascii="Verdana" w:hAnsi="Verdana"/>
          <w:noProof/>
          <w:sz w:val="20"/>
          <w:szCs w:val="20"/>
          <w:lang w:eastAsia="cs-CZ"/>
        </w:rPr>
        <w:t xml:space="preserve"> (www.topregion.cz)</w:t>
      </w:r>
      <w:r w:rsidR="007D4BDC" w:rsidRPr="00025B12">
        <w:rPr>
          <w:rFonts w:ascii="Verdana" w:hAnsi="Verdana"/>
          <w:noProof/>
          <w:sz w:val="20"/>
          <w:szCs w:val="20"/>
          <w:lang w:eastAsia="cs-CZ"/>
        </w:rPr>
        <w:t>.</w:t>
      </w:r>
    </w:p>
    <w:p w:rsidR="00516253" w:rsidRPr="00025B12" w:rsidRDefault="00516253" w:rsidP="006A70D2">
      <w:pPr>
        <w:jc w:val="both"/>
        <w:rPr>
          <w:rFonts w:ascii="Verdana" w:hAnsi="Verdana"/>
          <w:sz w:val="20"/>
          <w:szCs w:val="20"/>
        </w:rPr>
      </w:pPr>
      <w:r w:rsidRPr="00025B12">
        <w:rPr>
          <w:rFonts w:ascii="Verdana" w:hAnsi="Verdana"/>
          <w:sz w:val="20"/>
          <w:szCs w:val="20"/>
        </w:rPr>
        <w:t xml:space="preserve">Účastníkům workshopu byla představena průběžná verze </w:t>
      </w:r>
      <w:r w:rsidRPr="00025B12">
        <w:rPr>
          <w:rFonts w:ascii="Verdana" w:hAnsi="Verdana"/>
          <w:b/>
          <w:sz w:val="20"/>
          <w:szCs w:val="20"/>
        </w:rPr>
        <w:t>návrhu systému indikátorů dalšího vzdělávání</w:t>
      </w:r>
      <w:r w:rsidRPr="00025B12">
        <w:rPr>
          <w:rFonts w:ascii="Verdana" w:hAnsi="Verdana"/>
          <w:sz w:val="20"/>
          <w:szCs w:val="20"/>
        </w:rPr>
        <w:t xml:space="preserve">. Následně byly vytvořeny </w:t>
      </w:r>
      <w:r w:rsidRPr="00025B12">
        <w:rPr>
          <w:rFonts w:ascii="Verdana" w:hAnsi="Verdana"/>
          <w:b/>
          <w:sz w:val="20"/>
          <w:szCs w:val="20"/>
        </w:rPr>
        <w:t>pracovní skupiny</w:t>
      </w:r>
      <w:r w:rsidRPr="00025B12">
        <w:rPr>
          <w:rFonts w:ascii="Verdana" w:hAnsi="Verdana"/>
          <w:sz w:val="20"/>
          <w:szCs w:val="20"/>
        </w:rPr>
        <w:t>, které se zabývaly vždy jednou z následujících oblastí: (1) účast na dalším vzdělávání, (2) podnikové vzdělávání, (3) nabídka dalšího vzdělávání, (4) financování dalšího vzdělávání. Každá pracovní skupina dostala návrhy možných indikátorů, z nichž vybírala ty, které považovala za užitečné, a diskutovala nad informačními potřebami.</w:t>
      </w:r>
    </w:p>
    <w:p w:rsidR="00516253" w:rsidRPr="00025B12" w:rsidRDefault="00516253" w:rsidP="006A70D2">
      <w:pPr>
        <w:jc w:val="both"/>
        <w:rPr>
          <w:rFonts w:ascii="Verdana" w:hAnsi="Verdana"/>
          <w:b/>
          <w:sz w:val="20"/>
          <w:szCs w:val="20"/>
        </w:rPr>
      </w:pPr>
      <w:r w:rsidRPr="00025B12">
        <w:rPr>
          <w:rFonts w:ascii="Verdana" w:hAnsi="Verdana"/>
          <w:b/>
          <w:sz w:val="20"/>
          <w:szCs w:val="20"/>
        </w:rPr>
        <w:t>Účast na dalším vzdělávání</w:t>
      </w:r>
    </w:p>
    <w:p w:rsidR="00516253" w:rsidRPr="00025B12" w:rsidRDefault="00516253" w:rsidP="006A70D2">
      <w:pPr>
        <w:jc w:val="both"/>
        <w:rPr>
          <w:rFonts w:ascii="Verdana" w:hAnsi="Verdana"/>
          <w:sz w:val="20"/>
          <w:szCs w:val="20"/>
        </w:rPr>
      </w:pPr>
      <w:r w:rsidRPr="00025B12">
        <w:rPr>
          <w:rFonts w:ascii="Verdana" w:hAnsi="Verdana"/>
          <w:sz w:val="20"/>
          <w:szCs w:val="20"/>
        </w:rPr>
        <w:t>Vybrané indikátory (hodnoceny jako velmi užitečné):</w:t>
      </w:r>
    </w:p>
    <w:p w:rsidR="00516253" w:rsidRPr="00025B12" w:rsidRDefault="00516253" w:rsidP="006A70D2">
      <w:pPr>
        <w:numPr>
          <w:ilvl w:val="0"/>
          <w:numId w:val="32"/>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Účast nezaměstnaných na DV</w:t>
      </w:r>
    </w:p>
    <w:p w:rsidR="00516253" w:rsidRPr="00025B12" w:rsidRDefault="00516253" w:rsidP="006A70D2">
      <w:pPr>
        <w:numPr>
          <w:ilvl w:val="0"/>
          <w:numId w:val="32"/>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lastRenderedPageBreak/>
        <w:t>Počty účastníků a absolventů akreditovaných kurzů DV</w:t>
      </w:r>
    </w:p>
    <w:p w:rsidR="00516253" w:rsidRPr="00025B12" w:rsidRDefault="00516253" w:rsidP="006A70D2">
      <w:pPr>
        <w:numPr>
          <w:ilvl w:val="0"/>
          <w:numId w:val="32"/>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Počty kvalifikací udělených v rámci uznávání výsledků DV</w:t>
      </w:r>
    </w:p>
    <w:p w:rsidR="00516253" w:rsidRPr="00025B12" w:rsidRDefault="00516253" w:rsidP="006A70D2">
      <w:pPr>
        <w:numPr>
          <w:ilvl w:val="0"/>
          <w:numId w:val="32"/>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Počty udělených kvalifikací v přepočtu na zaměstnanost v dané profesi</w:t>
      </w:r>
    </w:p>
    <w:p w:rsidR="00516253" w:rsidRPr="00025B12" w:rsidRDefault="00516253" w:rsidP="006A70D2">
      <w:pPr>
        <w:numPr>
          <w:ilvl w:val="0"/>
          <w:numId w:val="32"/>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Počty složených M-zkoušek</w:t>
      </w:r>
    </w:p>
    <w:p w:rsidR="00516253" w:rsidRPr="00025B12" w:rsidRDefault="00516253" w:rsidP="006A70D2">
      <w:pPr>
        <w:numPr>
          <w:ilvl w:val="0"/>
          <w:numId w:val="32"/>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Počet hodin strávených účastníkem vzdělávání</w:t>
      </w:r>
    </w:p>
    <w:p w:rsidR="00516253" w:rsidRPr="00025B12" w:rsidRDefault="00516253" w:rsidP="006A70D2">
      <w:pPr>
        <w:spacing w:after="0" w:line="240" w:lineRule="auto"/>
        <w:ind w:left="720"/>
        <w:contextualSpacing/>
        <w:jc w:val="both"/>
        <w:rPr>
          <w:rFonts w:ascii="Verdana" w:eastAsia="Times New Roman" w:hAnsi="Verdana"/>
          <w:sz w:val="20"/>
          <w:szCs w:val="20"/>
          <w:lang w:eastAsia="cs-CZ"/>
        </w:rPr>
      </w:pPr>
    </w:p>
    <w:p w:rsidR="00516253" w:rsidRPr="00025B12" w:rsidRDefault="00516253" w:rsidP="006A70D2">
      <w:pPr>
        <w:spacing w:after="0" w:line="240" w:lineRule="auto"/>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Kromě toho pracovní skupina vyjádřila zájem o </w:t>
      </w:r>
    </w:p>
    <w:p w:rsidR="00516253" w:rsidRPr="00025B12" w:rsidRDefault="00516253" w:rsidP="006A70D2">
      <w:pPr>
        <w:numPr>
          <w:ilvl w:val="0"/>
          <w:numId w:val="34"/>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Počet účastníků a počet hodin ve formálním a neformálním vzdělávání dle věku a dle vzdělání v krajském členění</w:t>
      </w:r>
    </w:p>
    <w:p w:rsidR="00516253" w:rsidRPr="00025B12" w:rsidRDefault="00516253" w:rsidP="006A70D2">
      <w:pPr>
        <w:numPr>
          <w:ilvl w:val="0"/>
          <w:numId w:val="32"/>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Informace o věkové skupině 55+</w:t>
      </w:r>
    </w:p>
    <w:p w:rsidR="00516253" w:rsidRPr="00025B12" w:rsidRDefault="00516253" w:rsidP="006A70D2">
      <w:pPr>
        <w:numPr>
          <w:ilvl w:val="0"/>
          <w:numId w:val="32"/>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Členění dle obsahu vzdělávání (+ideálně kvantifikace stráveného času)</w:t>
      </w:r>
    </w:p>
    <w:p w:rsidR="00516253" w:rsidRPr="00025B12" w:rsidRDefault="00516253" w:rsidP="006A70D2">
      <w:pPr>
        <w:numPr>
          <w:ilvl w:val="0"/>
          <w:numId w:val="32"/>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Motivace účastníků pro vstup do DV</w:t>
      </w:r>
    </w:p>
    <w:p w:rsidR="00516253" w:rsidRPr="00025B12" w:rsidRDefault="00516253" w:rsidP="006A70D2">
      <w:pPr>
        <w:numPr>
          <w:ilvl w:val="0"/>
          <w:numId w:val="32"/>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Kolik organizací na úrovni kraje nabízí DV, kolik jsou firmy a jednotlivci ochotni vynakládat na DV, Uplatnitelnost absolventů rekvalifikací (časová závislost a počty)</w:t>
      </w:r>
    </w:p>
    <w:p w:rsidR="00516253" w:rsidRPr="00025B12" w:rsidRDefault="00516253" w:rsidP="006A70D2">
      <w:pPr>
        <w:spacing w:after="0" w:line="240" w:lineRule="auto"/>
        <w:ind w:left="720"/>
        <w:contextualSpacing/>
        <w:jc w:val="both"/>
        <w:rPr>
          <w:rFonts w:ascii="Verdana" w:eastAsia="Times New Roman" w:hAnsi="Verdana"/>
          <w:b/>
          <w:sz w:val="20"/>
          <w:szCs w:val="20"/>
          <w:u w:val="single"/>
          <w:lang w:eastAsia="cs-CZ"/>
        </w:rPr>
      </w:pPr>
    </w:p>
    <w:p w:rsidR="00516253" w:rsidRPr="00025B12" w:rsidRDefault="00516253" w:rsidP="006A70D2">
      <w:pPr>
        <w:spacing w:after="0" w:line="240" w:lineRule="auto"/>
        <w:contextualSpacing/>
        <w:jc w:val="both"/>
        <w:rPr>
          <w:rFonts w:ascii="Verdana" w:eastAsia="Times New Roman" w:hAnsi="Verdana"/>
          <w:b/>
          <w:sz w:val="20"/>
          <w:szCs w:val="20"/>
          <w:lang w:eastAsia="cs-CZ"/>
        </w:rPr>
      </w:pPr>
      <w:r w:rsidRPr="00025B12">
        <w:rPr>
          <w:rFonts w:ascii="Verdana" w:eastAsia="Times New Roman" w:hAnsi="Verdana"/>
          <w:b/>
          <w:sz w:val="20"/>
          <w:szCs w:val="20"/>
          <w:lang w:eastAsia="cs-CZ"/>
        </w:rPr>
        <w:t>Podnikové vzdělávání</w:t>
      </w:r>
    </w:p>
    <w:p w:rsidR="00516253" w:rsidRPr="00025B12" w:rsidRDefault="00516253" w:rsidP="006A70D2">
      <w:pPr>
        <w:spacing w:after="0" w:line="240" w:lineRule="auto"/>
        <w:contextualSpacing/>
        <w:jc w:val="both"/>
        <w:rPr>
          <w:rFonts w:ascii="Verdana" w:eastAsia="Times New Roman" w:hAnsi="Verdana"/>
          <w:b/>
          <w:sz w:val="20"/>
          <w:szCs w:val="20"/>
          <w:u w:val="single"/>
          <w:lang w:eastAsia="cs-CZ"/>
        </w:rPr>
      </w:pPr>
    </w:p>
    <w:p w:rsidR="00516253" w:rsidRPr="00025B12" w:rsidRDefault="00516253" w:rsidP="006A70D2">
      <w:pPr>
        <w:jc w:val="both"/>
        <w:rPr>
          <w:rFonts w:ascii="Verdana" w:hAnsi="Verdana"/>
          <w:sz w:val="20"/>
          <w:szCs w:val="20"/>
        </w:rPr>
      </w:pPr>
      <w:r w:rsidRPr="00025B12">
        <w:rPr>
          <w:rFonts w:ascii="Verdana" w:hAnsi="Verdana"/>
          <w:sz w:val="20"/>
          <w:szCs w:val="20"/>
        </w:rPr>
        <w:t>Vybrané indikátory (hodnoceny jako velmi užitečné):</w:t>
      </w:r>
    </w:p>
    <w:p w:rsidR="00516253" w:rsidRPr="00025B12" w:rsidRDefault="00516253" w:rsidP="006A70D2">
      <w:pPr>
        <w:numPr>
          <w:ilvl w:val="0"/>
          <w:numId w:val="36"/>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Požadavky zaměstnavatelů na kompetence</w:t>
      </w:r>
    </w:p>
    <w:p w:rsidR="00516253" w:rsidRPr="00025B12" w:rsidRDefault="00516253" w:rsidP="006A70D2">
      <w:pPr>
        <w:numPr>
          <w:ilvl w:val="0"/>
          <w:numId w:val="36"/>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Vyhodnocování efektivity dalšího odborného vzdělávání (DOV)</w:t>
      </w:r>
    </w:p>
    <w:p w:rsidR="00516253" w:rsidRPr="00025B12" w:rsidRDefault="00516253" w:rsidP="006A70D2">
      <w:pPr>
        <w:numPr>
          <w:ilvl w:val="0"/>
          <w:numId w:val="36"/>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Podíl nákladů na kurzy DOV na celkových nákladech práce</w:t>
      </w:r>
    </w:p>
    <w:p w:rsidR="00516253" w:rsidRPr="00025B12" w:rsidRDefault="00516253" w:rsidP="006A70D2">
      <w:pPr>
        <w:numPr>
          <w:ilvl w:val="0"/>
          <w:numId w:val="36"/>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Podniky vzdělávající v souvislosti s inovacemi</w:t>
      </w:r>
    </w:p>
    <w:p w:rsidR="00516253" w:rsidRPr="00025B12" w:rsidRDefault="00516253" w:rsidP="006A70D2">
      <w:pPr>
        <w:numPr>
          <w:ilvl w:val="0"/>
          <w:numId w:val="36"/>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Strategie podniků při chybějících dovednostech</w:t>
      </w:r>
    </w:p>
    <w:p w:rsidR="00516253" w:rsidRPr="00025B12" w:rsidRDefault="00516253" w:rsidP="006A70D2">
      <w:pPr>
        <w:numPr>
          <w:ilvl w:val="0"/>
          <w:numId w:val="36"/>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Podíl vzdělávajících podniků</w:t>
      </w:r>
    </w:p>
    <w:p w:rsidR="00516253" w:rsidRPr="00025B12" w:rsidRDefault="00516253" w:rsidP="006A70D2">
      <w:pPr>
        <w:numPr>
          <w:ilvl w:val="0"/>
          <w:numId w:val="36"/>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Počet hodin strávených na kurzech na 1000 odpracovaných hodin</w:t>
      </w:r>
    </w:p>
    <w:p w:rsidR="00516253" w:rsidRPr="00025B12" w:rsidRDefault="00516253" w:rsidP="006A70D2">
      <w:pPr>
        <w:numPr>
          <w:ilvl w:val="0"/>
          <w:numId w:val="36"/>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Zaměření kurzů podnikového vzdělávání</w:t>
      </w:r>
    </w:p>
    <w:p w:rsidR="00516253" w:rsidRPr="00025B12" w:rsidRDefault="00516253" w:rsidP="006A70D2">
      <w:pPr>
        <w:numPr>
          <w:ilvl w:val="0"/>
          <w:numId w:val="36"/>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Příjmy zaměstnavatelů na DOV z dotací a společných fondů a příspěvky do fondů</w:t>
      </w:r>
    </w:p>
    <w:p w:rsidR="00516253" w:rsidRPr="00025B12" w:rsidRDefault="00516253" w:rsidP="006A70D2">
      <w:pPr>
        <w:numPr>
          <w:ilvl w:val="0"/>
          <w:numId w:val="36"/>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Náklady na kurzy podnikového vzdělávání v přepočtu na výukové hodiny, účastníky a zaměstnané osoby</w:t>
      </w:r>
    </w:p>
    <w:p w:rsidR="00516253" w:rsidRPr="00025B12" w:rsidRDefault="00516253" w:rsidP="006A70D2">
      <w:pPr>
        <w:spacing w:after="0" w:line="240" w:lineRule="auto"/>
        <w:ind w:left="720"/>
        <w:contextualSpacing/>
        <w:jc w:val="both"/>
        <w:rPr>
          <w:rFonts w:ascii="Verdana" w:eastAsia="Times New Roman" w:hAnsi="Verdana"/>
          <w:b/>
          <w:sz w:val="20"/>
          <w:szCs w:val="20"/>
          <w:u w:val="single"/>
          <w:lang w:eastAsia="cs-CZ"/>
        </w:rPr>
      </w:pPr>
    </w:p>
    <w:p w:rsidR="00516253" w:rsidRPr="00025B12" w:rsidRDefault="00516253" w:rsidP="006A70D2">
      <w:pPr>
        <w:spacing w:after="0" w:line="240" w:lineRule="auto"/>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Další postřehy:</w:t>
      </w:r>
    </w:p>
    <w:p w:rsidR="00516253" w:rsidRPr="00025B12" w:rsidRDefault="00516253" w:rsidP="006A70D2">
      <w:pPr>
        <w:numPr>
          <w:ilvl w:val="0"/>
          <w:numId w:val="33"/>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Ze všech informací o dalším vzdělávání nejvíce chybí informace o poptávce a ty by mohly být získávány právě monitoringem podnikového vzdělávání – důležité je sledovat hlavně trendy.</w:t>
      </w:r>
    </w:p>
    <w:p w:rsidR="00516253" w:rsidRPr="00025B12" w:rsidRDefault="00516253" w:rsidP="006A70D2">
      <w:pPr>
        <w:numPr>
          <w:ilvl w:val="0"/>
          <w:numId w:val="33"/>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Evropské srovnání může ukázat budoucí trendy, důležité je odvětvové hledisko – mohlo by do určité míry nahradit absenci regionálních údajů.</w:t>
      </w:r>
    </w:p>
    <w:p w:rsidR="00516253" w:rsidRPr="00025B12" w:rsidRDefault="00516253" w:rsidP="006A70D2">
      <w:pPr>
        <w:numPr>
          <w:ilvl w:val="0"/>
          <w:numId w:val="33"/>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Mezinárodní srovnání dává v některých případech těžko uvěřitelné výsledky – je třeba jednoznačná definice toho, co je další vzdělávání (nezahrnovat povinná školení a kurzy).</w:t>
      </w:r>
    </w:p>
    <w:p w:rsidR="00516253" w:rsidRPr="00025B12" w:rsidRDefault="00516253" w:rsidP="006A70D2">
      <w:pPr>
        <w:numPr>
          <w:ilvl w:val="0"/>
          <w:numId w:val="33"/>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Důležitý je počet hodin vzdělávání více než jen samotná účast.</w:t>
      </w:r>
    </w:p>
    <w:p w:rsidR="00516253" w:rsidRPr="00025B12" w:rsidRDefault="00516253" w:rsidP="006A70D2">
      <w:pPr>
        <w:numPr>
          <w:ilvl w:val="0"/>
          <w:numId w:val="33"/>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Často se sledují investice do vzdělávání, ale není měřena jejich efektivita. Ze své podstaty je to nezměřitelný ukazatel, ale zajímavý ukazatel je například zapojení získaných zkušeností do praxe.</w:t>
      </w:r>
    </w:p>
    <w:p w:rsidR="00516253" w:rsidRPr="00025B12" w:rsidRDefault="00516253" w:rsidP="006A70D2">
      <w:pPr>
        <w:spacing w:after="0" w:line="240" w:lineRule="auto"/>
        <w:ind w:left="720"/>
        <w:contextualSpacing/>
        <w:jc w:val="both"/>
        <w:rPr>
          <w:rFonts w:ascii="Verdana" w:eastAsia="Times New Roman" w:hAnsi="Verdana"/>
          <w:sz w:val="20"/>
          <w:szCs w:val="20"/>
          <w:lang w:eastAsia="cs-CZ"/>
        </w:rPr>
      </w:pPr>
    </w:p>
    <w:p w:rsidR="00516253" w:rsidRPr="00025B12" w:rsidRDefault="00516253" w:rsidP="006A70D2">
      <w:pPr>
        <w:spacing w:after="0" w:line="240" w:lineRule="auto"/>
        <w:contextualSpacing/>
        <w:jc w:val="both"/>
        <w:rPr>
          <w:rFonts w:ascii="Verdana" w:eastAsia="Times New Roman" w:hAnsi="Verdana"/>
          <w:b/>
          <w:sz w:val="20"/>
          <w:szCs w:val="20"/>
          <w:lang w:eastAsia="cs-CZ"/>
        </w:rPr>
      </w:pPr>
      <w:r w:rsidRPr="00025B12">
        <w:rPr>
          <w:rFonts w:ascii="Verdana" w:eastAsia="Times New Roman" w:hAnsi="Verdana"/>
          <w:b/>
          <w:sz w:val="20"/>
          <w:szCs w:val="20"/>
          <w:lang w:eastAsia="cs-CZ"/>
        </w:rPr>
        <w:t>Nabídka dalšího vzdělávání</w:t>
      </w:r>
    </w:p>
    <w:p w:rsidR="00516253" w:rsidRPr="00025B12" w:rsidRDefault="00516253" w:rsidP="006A70D2">
      <w:pPr>
        <w:spacing w:after="0" w:line="240" w:lineRule="auto"/>
        <w:contextualSpacing/>
        <w:jc w:val="both"/>
        <w:rPr>
          <w:rFonts w:ascii="Verdana" w:eastAsia="Times New Roman" w:hAnsi="Verdana"/>
          <w:b/>
          <w:sz w:val="20"/>
          <w:szCs w:val="20"/>
          <w:u w:val="single"/>
          <w:lang w:eastAsia="cs-CZ"/>
        </w:rPr>
      </w:pPr>
    </w:p>
    <w:p w:rsidR="00516253" w:rsidRPr="00025B12" w:rsidRDefault="00516253" w:rsidP="006A70D2">
      <w:pPr>
        <w:jc w:val="both"/>
        <w:rPr>
          <w:rFonts w:ascii="Verdana" w:hAnsi="Verdana"/>
          <w:sz w:val="20"/>
          <w:szCs w:val="20"/>
        </w:rPr>
      </w:pPr>
      <w:r w:rsidRPr="00025B12">
        <w:rPr>
          <w:rFonts w:ascii="Verdana" w:hAnsi="Verdana"/>
          <w:sz w:val="20"/>
          <w:szCs w:val="20"/>
        </w:rPr>
        <w:t>Vybrané indikátory (hodnoceny jako velmi užitečné):</w:t>
      </w:r>
    </w:p>
    <w:p w:rsidR="00516253" w:rsidRPr="00025B12" w:rsidRDefault="00516253" w:rsidP="006A70D2">
      <w:pPr>
        <w:numPr>
          <w:ilvl w:val="0"/>
          <w:numId w:val="35"/>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Srovnání struktury nabídky DV a struktury zaměstnanosti</w:t>
      </w:r>
    </w:p>
    <w:p w:rsidR="00516253" w:rsidRPr="00025B12" w:rsidRDefault="00516253" w:rsidP="006A70D2">
      <w:pPr>
        <w:numPr>
          <w:ilvl w:val="0"/>
          <w:numId w:val="35"/>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Srovnání struktury nabídky DV a volných pracovních míst</w:t>
      </w:r>
    </w:p>
    <w:p w:rsidR="00516253" w:rsidRPr="00025B12" w:rsidRDefault="00516253" w:rsidP="006A70D2">
      <w:pPr>
        <w:numPr>
          <w:ilvl w:val="0"/>
          <w:numId w:val="35"/>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lastRenderedPageBreak/>
        <w:t>Akreditované kurzy DV</w:t>
      </w:r>
    </w:p>
    <w:p w:rsidR="00516253" w:rsidRPr="00025B12" w:rsidRDefault="00516253" w:rsidP="00D7337B">
      <w:pPr>
        <w:numPr>
          <w:ilvl w:val="0"/>
          <w:numId w:val="35"/>
        </w:numPr>
        <w:contextualSpacing/>
        <w:rPr>
          <w:rFonts w:ascii="Verdana" w:eastAsia="Times New Roman" w:hAnsi="Verdana"/>
          <w:sz w:val="20"/>
          <w:szCs w:val="20"/>
          <w:lang w:eastAsia="cs-CZ"/>
        </w:rPr>
      </w:pPr>
      <w:r w:rsidRPr="00025B12">
        <w:rPr>
          <w:rFonts w:ascii="Verdana" w:eastAsia="Times New Roman" w:hAnsi="Verdana"/>
          <w:sz w:val="20"/>
          <w:szCs w:val="20"/>
          <w:lang w:eastAsia="cs-CZ"/>
        </w:rPr>
        <w:t>Počet škol nabízejících vzdělávání v jiné než denní formě a kap</w:t>
      </w:r>
      <w:r w:rsidR="00D7337B" w:rsidRPr="00025B12">
        <w:rPr>
          <w:rFonts w:ascii="Verdana" w:eastAsia="Times New Roman" w:hAnsi="Verdana"/>
          <w:sz w:val="20"/>
          <w:szCs w:val="20"/>
          <w:lang w:eastAsia="cs-CZ"/>
        </w:rPr>
        <w:t xml:space="preserve">acita programů (využití dat ÚIV) </w:t>
      </w:r>
      <w:r w:rsidRPr="00025B12">
        <w:rPr>
          <w:rFonts w:ascii="Verdana" w:eastAsia="Times New Roman" w:hAnsi="Verdana"/>
          <w:sz w:val="20"/>
          <w:szCs w:val="20"/>
          <w:lang w:eastAsia="cs-CZ"/>
        </w:rPr>
        <w:br/>
      </w:r>
    </w:p>
    <w:p w:rsidR="00516253" w:rsidRPr="00025B12" w:rsidRDefault="00516253" w:rsidP="006A70D2">
      <w:pPr>
        <w:spacing w:after="0" w:line="240" w:lineRule="auto"/>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Další po</w:t>
      </w:r>
      <w:r w:rsidR="006A70D2" w:rsidRPr="00025B12">
        <w:rPr>
          <w:rFonts w:ascii="Verdana" w:eastAsia="Times New Roman" w:hAnsi="Verdana"/>
          <w:sz w:val="20"/>
          <w:szCs w:val="20"/>
          <w:lang w:eastAsia="cs-CZ"/>
        </w:rPr>
        <w:t>střehy</w:t>
      </w:r>
      <w:r w:rsidRPr="00025B12">
        <w:rPr>
          <w:rFonts w:ascii="Verdana" w:eastAsia="Times New Roman" w:hAnsi="Verdana"/>
          <w:sz w:val="20"/>
          <w:szCs w:val="20"/>
          <w:lang w:eastAsia="cs-CZ"/>
        </w:rPr>
        <w:t>:</w:t>
      </w:r>
    </w:p>
    <w:p w:rsidR="00516253" w:rsidRPr="00025B12" w:rsidRDefault="00516253" w:rsidP="006A70D2">
      <w:pPr>
        <w:numPr>
          <w:ilvl w:val="0"/>
          <w:numId w:val="35"/>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Vznikly pochybnosti o tom, jak interpretovat přepočet kurzů na zaměstnanost; užitečný je naopak přepočet na volná pracovní místa – ale zde by bylo třeba krajské členění.</w:t>
      </w:r>
    </w:p>
    <w:p w:rsidR="00516253" w:rsidRPr="00025B12" w:rsidRDefault="00516253" w:rsidP="006A70D2">
      <w:pPr>
        <w:numPr>
          <w:ilvl w:val="0"/>
          <w:numId w:val="35"/>
        </w:numPr>
        <w:contextualSpacing/>
        <w:jc w:val="both"/>
        <w:rPr>
          <w:rFonts w:ascii="Verdana" w:eastAsia="Times New Roman" w:hAnsi="Verdana"/>
          <w:b/>
          <w:sz w:val="20"/>
          <w:szCs w:val="20"/>
          <w:u w:val="single"/>
          <w:lang w:eastAsia="cs-CZ"/>
        </w:rPr>
      </w:pPr>
      <w:r w:rsidRPr="00025B12">
        <w:rPr>
          <w:rFonts w:ascii="Verdana" w:eastAsia="Times New Roman" w:hAnsi="Verdana"/>
          <w:sz w:val="20"/>
          <w:szCs w:val="20"/>
          <w:lang w:eastAsia="cs-CZ"/>
        </w:rPr>
        <w:t>V určitých ohledech je problematické použití zdrojů o nabídce, kterými jsou databáze EDUCity a EU-DAT. Pracovníci úřadů práce se v praxi setkávají s tím, že zejména menší regionální vzdělávací společnosti v těchto databázích nejsou a na druhé straně jsou tam z marketingových důvodů obsaženy kurzy, které se v reálu neuskutečňují.</w:t>
      </w:r>
    </w:p>
    <w:p w:rsidR="00516253" w:rsidRPr="00025B12" w:rsidRDefault="00516253" w:rsidP="006A70D2">
      <w:pPr>
        <w:numPr>
          <w:ilvl w:val="0"/>
          <w:numId w:val="35"/>
        </w:numPr>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Indikátor počtů nabízených kurzů dle obsahového zaměření – aby byl užitečný, je třeba konkrétnější rozčlenění (nabízená kategorizace jazykové - profesně specifické - profesní všeobecné - zájmové je příliš obecná), bylo by zajímavé provázat s poptávkou po kurzech.</w:t>
      </w:r>
    </w:p>
    <w:p w:rsidR="00516253" w:rsidRPr="00025B12" w:rsidRDefault="00516253" w:rsidP="006A70D2">
      <w:pPr>
        <w:spacing w:after="0" w:line="240" w:lineRule="auto"/>
        <w:contextualSpacing/>
        <w:jc w:val="both"/>
        <w:rPr>
          <w:rFonts w:ascii="Verdana" w:eastAsia="Times New Roman" w:hAnsi="Verdana"/>
          <w:b/>
          <w:bCs/>
          <w:sz w:val="20"/>
          <w:szCs w:val="20"/>
          <w:u w:val="single"/>
          <w:lang w:eastAsia="cs-CZ"/>
        </w:rPr>
      </w:pPr>
    </w:p>
    <w:p w:rsidR="00516253" w:rsidRPr="00025B12" w:rsidRDefault="00516253" w:rsidP="006A70D2">
      <w:pPr>
        <w:spacing w:after="0" w:line="240" w:lineRule="auto"/>
        <w:contextualSpacing/>
        <w:jc w:val="both"/>
        <w:rPr>
          <w:rFonts w:ascii="Verdana" w:eastAsia="Times New Roman" w:hAnsi="Verdana"/>
          <w:b/>
          <w:bCs/>
          <w:sz w:val="20"/>
          <w:szCs w:val="20"/>
          <w:lang w:eastAsia="cs-CZ"/>
        </w:rPr>
      </w:pPr>
      <w:r w:rsidRPr="00025B12">
        <w:rPr>
          <w:rFonts w:ascii="Verdana" w:eastAsia="Times New Roman" w:hAnsi="Verdana"/>
          <w:b/>
          <w:bCs/>
          <w:sz w:val="20"/>
          <w:szCs w:val="20"/>
          <w:lang w:eastAsia="cs-CZ"/>
        </w:rPr>
        <w:t>Financování dalšího vzdělávání</w:t>
      </w:r>
    </w:p>
    <w:p w:rsidR="00516253" w:rsidRPr="00025B12" w:rsidRDefault="00516253" w:rsidP="006A70D2">
      <w:pPr>
        <w:spacing w:after="0" w:line="240" w:lineRule="auto"/>
        <w:contextualSpacing/>
        <w:jc w:val="both"/>
        <w:rPr>
          <w:rFonts w:ascii="Verdana" w:eastAsia="Times New Roman" w:hAnsi="Verdana"/>
          <w:b/>
          <w:bCs/>
          <w:sz w:val="20"/>
          <w:szCs w:val="20"/>
          <w:u w:val="single"/>
          <w:lang w:eastAsia="cs-CZ"/>
        </w:rPr>
      </w:pPr>
    </w:p>
    <w:p w:rsidR="00516253" w:rsidRPr="00025B12" w:rsidRDefault="00516253" w:rsidP="006A70D2">
      <w:pPr>
        <w:numPr>
          <w:ilvl w:val="0"/>
          <w:numId w:val="37"/>
        </w:numPr>
        <w:jc w:val="both"/>
        <w:rPr>
          <w:rFonts w:ascii="Verdana" w:eastAsia="Times New Roman" w:hAnsi="Verdana"/>
          <w:sz w:val="20"/>
          <w:szCs w:val="20"/>
          <w:lang w:eastAsia="cs-CZ"/>
        </w:rPr>
      </w:pPr>
      <w:r w:rsidRPr="00025B12">
        <w:rPr>
          <w:rFonts w:ascii="Verdana" w:eastAsia="Times New Roman" w:hAnsi="Verdana"/>
          <w:sz w:val="20"/>
          <w:szCs w:val="20"/>
          <w:lang w:eastAsia="cs-CZ"/>
        </w:rPr>
        <w:t>U podnikových dat je regionální členění problematické. V šetření o vzdělávání zaměstnanců podniků a dalších ekonomických subjektů (</w:t>
      </w:r>
      <w:hyperlink r:id="rId18" w:history="1">
        <w:r w:rsidRPr="00025B12">
          <w:rPr>
            <w:rFonts w:ascii="Verdana" w:eastAsia="Times New Roman" w:hAnsi="Verdana"/>
            <w:color w:val="0000FF"/>
            <w:sz w:val="20"/>
            <w:szCs w:val="20"/>
            <w:u w:val="single"/>
            <w:lang w:eastAsia="cs-CZ"/>
          </w:rPr>
          <w:t>http://www.czso.cz/csu/klasifik.nsf/i/setreni_o_vzdelavani_zamestnancu_podniku_a_dalsich_ekonomickych_subjektu_cvts_4</w:t>
        </w:r>
      </w:hyperlink>
      <w:r w:rsidRPr="00025B12">
        <w:rPr>
          <w:rFonts w:ascii="Verdana" w:eastAsia="Times New Roman" w:hAnsi="Verdana"/>
          <w:sz w:val="20"/>
          <w:szCs w:val="20"/>
          <w:lang w:eastAsia="cs-CZ"/>
        </w:rPr>
        <w:t xml:space="preserve"> ) lze totiž regionální strukturu sledovat jen podle sídla podniku. Problém u velkých společností s více pobočkami v různých krajích, ale také proto, že podniky mají často sídlo v Praze, kde je menší pravděpodobnost kontroly finančního úřadu.</w:t>
      </w:r>
    </w:p>
    <w:p w:rsidR="00516253" w:rsidRPr="00025B12" w:rsidRDefault="00793D59" w:rsidP="006A70D2">
      <w:pPr>
        <w:numPr>
          <w:ilvl w:val="0"/>
          <w:numId w:val="37"/>
        </w:numPr>
        <w:jc w:val="both"/>
        <w:rPr>
          <w:rFonts w:ascii="Verdana" w:eastAsia="Times New Roman" w:hAnsi="Verdana"/>
          <w:sz w:val="20"/>
          <w:szCs w:val="20"/>
          <w:lang w:eastAsia="cs-CZ"/>
        </w:rPr>
      </w:pPr>
      <w:r w:rsidRPr="00025B12">
        <w:rPr>
          <w:rFonts w:ascii="Verdana" w:eastAsia="Times New Roman" w:hAnsi="Verdana"/>
          <w:sz w:val="20"/>
          <w:szCs w:val="20"/>
          <w:lang w:eastAsia="cs-CZ"/>
        </w:rPr>
        <w:t>Tam, kde není možné krajské srovnání</w:t>
      </w:r>
      <w:r w:rsidR="00770790" w:rsidRPr="00025B12">
        <w:rPr>
          <w:rFonts w:ascii="Verdana" w:eastAsia="Times New Roman" w:hAnsi="Verdana"/>
          <w:sz w:val="20"/>
          <w:szCs w:val="20"/>
          <w:lang w:eastAsia="cs-CZ"/>
        </w:rPr>
        <w:t>,</w:t>
      </w:r>
      <w:r w:rsidRPr="00025B12">
        <w:rPr>
          <w:rFonts w:ascii="Verdana" w:eastAsia="Times New Roman" w:hAnsi="Verdana"/>
          <w:sz w:val="20"/>
          <w:szCs w:val="20"/>
          <w:lang w:eastAsia="cs-CZ"/>
        </w:rPr>
        <w:t xml:space="preserve"> by bylo zajímavé aplikovat místo něj odvětvové hledisko</w:t>
      </w:r>
      <w:r w:rsidR="00516253" w:rsidRPr="00025B12">
        <w:rPr>
          <w:rFonts w:ascii="Verdana" w:eastAsia="Times New Roman" w:hAnsi="Verdana"/>
          <w:sz w:val="20"/>
          <w:szCs w:val="20"/>
          <w:lang w:eastAsia="cs-CZ"/>
        </w:rPr>
        <w:t>.</w:t>
      </w:r>
    </w:p>
    <w:p w:rsidR="00516253" w:rsidRPr="00025B12" w:rsidRDefault="00516253" w:rsidP="006A70D2">
      <w:pPr>
        <w:numPr>
          <w:ilvl w:val="0"/>
          <w:numId w:val="37"/>
        </w:numPr>
        <w:jc w:val="both"/>
        <w:rPr>
          <w:rFonts w:ascii="Verdana" w:eastAsia="Times New Roman" w:hAnsi="Verdana"/>
          <w:sz w:val="20"/>
          <w:szCs w:val="20"/>
          <w:lang w:eastAsia="cs-CZ"/>
        </w:rPr>
      </w:pPr>
      <w:r w:rsidRPr="00025B12">
        <w:rPr>
          <w:rFonts w:ascii="Verdana" w:eastAsia="Times New Roman" w:hAnsi="Verdana"/>
          <w:sz w:val="20"/>
          <w:szCs w:val="20"/>
          <w:lang w:eastAsia="cs-CZ"/>
        </w:rPr>
        <w:t>Zajímavý by byl benchmarking – vazba podnikových výdajů na vzdělávání na makroekonomické údaje apod. – vyhodnocení vlivu investic do DV.</w:t>
      </w:r>
    </w:p>
    <w:p w:rsidR="00516253" w:rsidRPr="00025B12" w:rsidRDefault="00516253" w:rsidP="006A70D2">
      <w:pPr>
        <w:numPr>
          <w:ilvl w:val="0"/>
          <w:numId w:val="37"/>
        </w:numPr>
        <w:jc w:val="both"/>
        <w:rPr>
          <w:rFonts w:ascii="Verdana" w:eastAsia="Times New Roman" w:hAnsi="Verdana"/>
          <w:sz w:val="20"/>
          <w:szCs w:val="20"/>
          <w:lang w:eastAsia="cs-CZ"/>
        </w:rPr>
      </w:pPr>
      <w:r w:rsidRPr="00025B12">
        <w:rPr>
          <w:rFonts w:ascii="Verdana" w:eastAsia="Times New Roman" w:hAnsi="Verdana"/>
          <w:sz w:val="20"/>
          <w:szCs w:val="20"/>
          <w:lang w:eastAsia="cs-CZ"/>
        </w:rPr>
        <w:t>Dále důležité, kolik vynakládají peněz na další vzdělávání jednotlivci a podniky – informace pro zahraniční investory o tom, kolik je bude stát zaškolení personálu.</w:t>
      </w:r>
    </w:p>
    <w:p w:rsidR="007D4BDC" w:rsidRPr="00025B12" w:rsidRDefault="00516253" w:rsidP="006A70D2">
      <w:pPr>
        <w:jc w:val="both"/>
        <w:rPr>
          <w:rFonts w:ascii="Verdana" w:hAnsi="Verdana"/>
          <w:noProof/>
          <w:sz w:val="20"/>
          <w:szCs w:val="20"/>
          <w:lang w:eastAsia="cs-CZ"/>
        </w:rPr>
      </w:pPr>
      <w:r w:rsidRPr="00025B12">
        <w:rPr>
          <w:rFonts w:ascii="Verdana" w:hAnsi="Verdana"/>
          <w:noProof/>
          <w:sz w:val="20"/>
          <w:szCs w:val="20"/>
          <w:lang w:eastAsia="cs-CZ"/>
        </w:rPr>
        <w:t xml:space="preserve">Hodnocení užitečnosti indikátorů vyjádřené na tomto workshopu </w:t>
      </w:r>
      <w:r w:rsidR="00793D59" w:rsidRPr="00025B12">
        <w:rPr>
          <w:rFonts w:ascii="Verdana" w:hAnsi="Verdana"/>
          <w:noProof/>
          <w:sz w:val="20"/>
          <w:szCs w:val="20"/>
          <w:lang w:eastAsia="cs-CZ"/>
        </w:rPr>
        <w:t xml:space="preserve">bylo </w:t>
      </w:r>
      <w:r w:rsidRPr="00025B12">
        <w:rPr>
          <w:rFonts w:ascii="Verdana" w:hAnsi="Verdana"/>
          <w:noProof/>
          <w:sz w:val="20"/>
          <w:szCs w:val="20"/>
          <w:lang w:eastAsia="cs-CZ"/>
        </w:rPr>
        <w:t>následně</w:t>
      </w:r>
      <w:r w:rsidR="00793D59" w:rsidRPr="00025B12">
        <w:rPr>
          <w:rFonts w:ascii="Verdana" w:hAnsi="Verdana"/>
          <w:noProof/>
          <w:sz w:val="20"/>
          <w:szCs w:val="20"/>
          <w:lang w:eastAsia="cs-CZ"/>
        </w:rPr>
        <w:t xml:space="preserve"> využito</w:t>
      </w:r>
      <w:r w:rsidRPr="00025B12">
        <w:rPr>
          <w:rFonts w:ascii="Verdana" w:hAnsi="Verdana"/>
          <w:noProof/>
          <w:sz w:val="20"/>
          <w:szCs w:val="20"/>
          <w:lang w:eastAsia="cs-CZ"/>
        </w:rPr>
        <w:t xml:space="preserve"> </w:t>
      </w:r>
      <w:r w:rsidR="00793D59" w:rsidRPr="00025B12">
        <w:rPr>
          <w:rFonts w:ascii="Verdana" w:hAnsi="Verdana"/>
          <w:noProof/>
          <w:sz w:val="20"/>
          <w:szCs w:val="20"/>
          <w:lang w:eastAsia="cs-CZ"/>
        </w:rPr>
        <w:t>ve scoringu (viz kapitola 4.1</w:t>
      </w:r>
      <w:r w:rsidRPr="00025B12">
        <w:rPr>
          <w:rFonts w:ascii="Verdana" w:hAnsi="Verdana"/>
          <w:noProof/>
          <w:sz w:val="20"/>
          <w:szCs w:val="20"/>
          <w:lang w:eastAsia="cs-CZ"/>
        </w:rPr>
        <w:t>) a další připomínky byly v rámci mezí, které umožňuje dostupnost dat a celková koncepce systému, zapracovány do finální podoby návrhu</w:t>
      </w:r>
      <w:r w:rsidR="00927D1F" w:rsidRPr="00025B12">
        <w:rPr>
          <w:rFonts w:ascii="Verdana" w:hAnsi="Verdana"/>
          <w:noProof/>
          <w:sz w:val="20"/>
          <w:szCs w:val="20"/>
          <w:lang w:eastAsia="cs-CZ"/>
        </w:rPr>
        <w:t xml:space="preserve"> souboru ukazatelů pro monitoring dalšího vzdělávání</w:t>
      </w:r>
      <w:r w:rsidRPr="00025B12">
        <w:rPr>
          <w:rFonts w:ascii="Verdana" w:hAnsi="Verdana"/>
          <w:noProof/>
          <w:sz w:val="20"/>
          <w:szCs w:val="20"/>
          <w:lang w:eastAsia="cs-CZ"/>
        </w:rPr>
        <w:t>.</w:t>
      </w:r>
    </w:p>
    <w:p w:rsidR="007D36A8" w:rsidRPr="00025B12" w:rsidRDefault="007D36A8" w:rsidP="004B01CA">
      <w:pPr>
        <w:jc w:val="both"/>
        <w:rPr>
          <w:rFonts w:ascii="Verdana" w:hAnsi="Verdana"/>
          <w:b/>
          <w:noProof/>
          <w:sz w:val="24"/>
          <w:szCs w:val="24"/>
          <w:lang w:eastAsia="cs-CZ"/>
        </w:rPr>
      </w:pPr>
      <w:r w:rsidRPr="00025B12">
        <w:rPr>
          <w:rFonts w:ascii="Verdana" w:hAnsi="Verdana"/>
          <w:b/>
          <w:noProof/>
          <w:sz w:val="24"/>
          <w:szCs w:val="24"/>
          <w:lang w:eastAsia="cs-CZ"/>
        </w:rPr>
        <w:t>Expertní připomínky</w:t>
      </w:r>
    </w:p>
    <w:p w:rsidR="007D36A8" w:rsidRPr="00025B12" w:rsidRDefault="007D36A8" w:rsidP="007D36A8">
      <w:pPr>
        <w:jc w:val="both"/>
        <w:rPr>
          <w:rFonts w:ascii="Verdana" w:hAnsi="Verdana"/>
          <w:noProof/>
          <w:sz w:val="20"/>
          <w:szCs w:val="20"/>
          <w:lang w:eastAsia="cs-CZ"/>
        </w:rPr>
      </w:pPr>
      <w:r w:rsidRPr="00025B12">
        <w:rPr>
          <w:rFonts w:ascii="Verdana" w:hAnsi="Verdana"/>
          <w:noProof/>
          <w:sz w:val="20"/>
          <w:szCs w:val="20"/>
          <w:lang w:eastAsia="cs-CZ"/>
        </w:rPr>
        <w:t xml:space="preserve">Před finalizací byl celý návrh rozeslán k připomínkám širší skupině expertů. Kromě členů expertní skupiny, se kterou je návrh konzultován dlouhodobě, se jednalo i o další experty v dané oblasti včetně zástupců decizní sféry na regionální i centrální úrovni. </w:t>
      </w:r>
    </w:p>
    <w:p w:rsidR="007D36A8" w:rsidRPr="00025B12" w:rsidRDefault="007D36A8" w:rsidP="007703E7">
      <w:pPr>
        <w:jc w:val="both"/>
        <w:rPr>
          <w:rFonts w:ascii="Verdana" w:hAnsi="Verdana"/>
          <w:noProof/>
          <w:sz w:val="20"/>
          <w:szCs w:val="20"/>
          <w:lang w:eastAsia="cs-CZ"/>
        </w:rPr>
      </w:pPr>
      <w:r w:rsidRPr="00025B12">
        <w:rPr>
          <w:rFonts w:ascii="Verdana" w:hAnsi="Verdana"/>
          <w:noProof/>
          <w:sz w:val="20"/>
          <w:szCs w:val="20"/>
          <w:lang w:eastAsia="cs-CZ"/>
        </w:rPr>
        <w:t>Z těchto připomínek vzešly podněty pro úpravu členění indikátorů na klíčové a doplňkové a také metodické připomínky ke konstrukci jednotlivých indikátorů. Oba typy připomínek byly zapracovány do finální podoby návrhu.</w:t>
      </w:r>
      <w:r w:rsidR="006A70D2" w:rsidRPr="00025B12">
        <w:rPr>
          <w:rFonts w:ascii="Verdana" w:hAnsi="Verdana"/>
          <w:noProof/>
          <w:sz w:val="20"/>
          <w:szCs w:val="20"/>
          <w:lang w:eastAsia="cs-CZ"/>
        </w:rPr>
        <w:t xml:space="preserve"> </w:t>
      </w:r>
    </w:p>
    <w:p w:rsidR="007703E7" w:rsidRPr="00025B12" w:rsidRDefault="007703E7" w:rsidP="007703E7">
      <w:pPr>
        <w:jc w:val="both"/>
        <w:rPr>
          <w:rFonts w:ascii="Verdana" w:hAnsi="Verdana"/>
          <w:noProof/>
          <w:sz w:val="20"/>
          <w:szCs w:val="20"/>
          <w:lang w:eastAsia="cs-CZ"/>
        </w:rPr>
      </w:pPr>
    </w:p>
    <w:p w:rsidR="00FC058B" w:rsidRPr="00025B12" w:rsidRDefault="0019561C" w:rsidP="00F15C7A">
      <w:pPr>
        <w:pStyle w:val="Nadpiskonc2"/>
        <w:numPr>
          <w:ilvl w:val="1"/>
          <w:numId w:val="10"/>
        </w:numPr>
        <w:ind w:left="709" w:hanging="349"/>
        <w:rPr>
          <w:rFonts w:ascii="Verdana" w:hAnsi="Verdana"/>
          <w:caps/>
        </w:rPr>
      </w:pPr>
      <w:bookmarkStart w:id="26" w:name="_Toc289351173"/>
      <w:bookmarkStart w:id="27" w:name="_Toc289351255"/>
      <w:bookmarkStart w:id="28" w:name="_Toc304898610"/>
      <w:r w:rsidRPr="00025B12">
        <w:rPr>
          <w:rFonts w:ascii="Verdana" w:hAnsi="Verdana"/>
          <w:caps/>
        </w:rPr>
        <w:t>Dostupnost a kvalita informačních zdrojů</w:t>
      </w:r>
      <w:bookmarkEnd w:id="26"/>
      <w:bookmarkEnd w:id="27"/>
      <w:bookmarkEnd w:id="28"/>
    </w:p>
    <w:p w:rsidR="00A33152" w:rsidRPr="00025B12" w:rsidRDefault="00A33152" w:rsidP="00A33152">
      <w:pPr>
        <w:jc w:val="both"/>
        <w:rPr>
          <w:rFonts w:ascii="Verdana" w:hAnsi="Verdana"/>
          <w:noProof/>
          <w:sz w:val="20"/>
          <w:szCs w:val="20"/>
          <w:lang w:eastAsia="cs-CZ"/>
        </w:rPr>
      </w:pPr>
      <w:r w:rsidRPr="00025B12">
        <w:rPr>
          <w:rFonts w:ascii="Verdana" w:hAnsi="Verdana"/>
          <w:noProof/>
          <w:sz w:val="20"/>
          <w:szCs w:val="20"/>
          <w:lang w:eastAsia="cs-CZ"/>
        </w:rPr>
        <w:t>Současné informační zdroje pro jednotlivé oblasti monitoringu dalšího vzdělávání byly podrobně zmapovány v rámci aktivity III.A. Výsledky této analýzy ukázaly, že potenciálních informačních zdrojů je poměrně velká řada a existují i informační zdroje, které mají potenciál pro monitoring dalšího vzdělávání, ale nejsou k němu v současné době využívány. Byly však identifikovány i důležité oblasti, pro které informační zdroje úplně chybí nebo jsou málo časté. Mezi tyto nedostatečně pokryté oblasti patří zejména</w:t>
      </w:r>
    </w:p>
    <w:p w:rsidR="00A33152" w:rsidRPr="00025B12" w:rsidRDefault="00A33152" w:rsidP="005E2CC2">
      <w:pPr>
        <w:numPr>
          <w:ilvl w:val="0"/>
          <w:numId w:val="3"/>
        </w:numPr>
        <w:spacing w:after="0"/>
        <w:ind w:hanging="357"/>
        <w:jc w:val="both"/>
        <w:rPr>
          <w:rFonts w:ascii="Verdana" w:hAnsi="Verdana"/>
          <w:sz w:val="20"/>
          <w:szCs w:val="20"/>
        </w:rPr>
      </w:pPr>
      <w:r w:rsidRPr="00025B12">
        <w:rPr>
          <w:rFonts w:ascii="Verdana" w:hAnsi="Verdana"/>
          <w:sz w:val="20"/>
          <w:szCs w:val="20"/>
        </w:rPr>
        <w:t>Kvalita dalšího vzdělávání</w:t>
      </w:r>
    </w:p>
    <w:p w:rsidR="00A33152" w:rsidRPr="00025B12" w:rsidRDefault="00A33152" w:rsidP="005E2CC2">
      <w:pPr>
        <w:numPr>
          <w:ilvl w:val="0"/>
          <w:numId w:val="3"/>
        </w:numPr>
        <w:spacing w:after="0"/>
        <w:ind w:hanging="357"/>
        <w:jc w:val="both"/>
        <w:rPr>
          <w:rFonts w:ascii="Verdana" w:hAnsi="Verdana"/>
          <w:sz w:val="20"/>
          <w:szCs w:val="20"/>
        </w:rPr>
      </w:pPr>
      <w:r w:rsidRPr="00025B12">
        <w:rPr>
          <w:rFonts w:ascii="Verdana" w:hAnsi="Verdana"/>
          <w:sz w:val="20"/>
          <w:szCs w:val="20"/>
        </w:rPr>
        <w:t>Nedostatky v dovednostech („skill gaps“)</w:t>
      </w:r>
      <w:r w:rsidRPr="00025B12">
        <w:rPr>
          <w:rStyle w:val="Znakapoznpodarou"/>
          <w:rFonts w:ascii="Verdana" w:hAnsi="Verdana"/>
          <w:sz w:val="20"/>
          <w:szCs w:val="20"/>
        </w:rPr>
        <w:footnoteReference w:id="1"/>
      </w:r>
    </w:p>
    <w:p w:rsidR="00A33152" w:rsidRPr="00025B12" w:rsidRDefault="00A33152" w:rsidP="005E2CC2">
      <w:pPr>
        <w:numPr>
          <w:ilvl w:val="0"/>
          <w:numId w:val="4"/>
        </w:numPr>
        <w:spacing w:after="0"/>
        <w:ind w:left="709" w:hanging="357"/>
        <w:jc w:val="both"/>
        <w:rPr>
          <w:rFonts w:ascii="Verdana" w:hAnsi="Verdana"/>
          <w:sz w:val="20"/>
          <w:szCs w:val="20"/>
        </w:rPr>
      </w:pPr>
      <w:r w:rsidRPr="00025B12">
        <w:rPr>
          <w:rFonts w:ascii="Verdana" w:hAnsi="Verdana"/>
          <w:sz w:val="20"/>
          <w:szCs w:val="20"/>
        </w:rPr>
        <w:t>Pedagogičtí pracovníci a lektoři dalšího vzdělávání</w:t>
      </w:r>
    </w:p>
    <w:p w:rsidR="00A33152" w:rsidRPr="00025B12" w:rsidRDefault="00A33152" w:rsidP="005E2CC2">
      <w:pPr>
        <w:numPr>
          <w:ilvl w:val="0"/>
          <w:numId w:val="3"/>
        </w:numPr>
        <w:spacing w:after="0"/>
        <w:ind w:hanging="357"/>
        <w:jc w:val="both"/>
        <w:rPr>
          <w:rFonts w:ascii="Verdana" w:hAnsi="Verdana"/>
          <w:sz w:val="20"/>
          <w:szCs w:val="20"/>
        </w:rPr>
      </w:pPr>
      <w:r w:rsidRPr="00025B12">
        <w:rPr>
          <w:rFonts w:ascii="Verdana" w:hAnsi="Verdana"/>
          <w:sz w:val="20"/>
          <w:szCs w:val="20"/>
        </w:rPr>
        <w:t>Nabídka dalšího neformálního vzdělávání</w:t>
      </w:r>
    </w:p>
    <w:p w:rsidR="00A33152" w:rsidRPr="00025B12" w:rsidRDefault="00A33152" w:rsidP="005E2CC2">
      <w:pPr>
        <w:numPr>
          <w:ilvl w:val="0"/>
          <w:numId w:val="3"/>
        </w:numPr>
        <w:spacing w:after="0"/>
        <w:ind w:hanging="357"/>
        <w:jc w:val="both"/>
        <w:rPr>
          <w:rFonts w:ascii="Verdana" w:hAnsi="Verdana"/>
          <w:sz w:val="20"/>
          <w:szCs w:val="20"/>
        </w:rPr>
      </w:pPr>
      <w:r w:rsidRPr="00025B12">
        <w:rPr>
          <w:rFonts w:ascii="Verdana" w:hAnsi="Verdana"/>
          <w:sz w:val="20"/>
          <w:szCs w:val="20"/>
        </w:rPr>
        <w:t>Financování dalšího vzdělávání podniky i jednotlivci</w:t>
      </w:r>
    </w:p>
    <w:p w:rsidR="00A33152" w:rsidRPr="00025B12" w:rsidRDefault="00A33152" w:rsidP="005E2CC2">
      <w:pPr>
        <w:numPr>
          <w:ilvl w:val="0"/>
          <w:numId w:val="3"/>
        </w:numPr>
        <w:spacing w:after="0"/>
        <w:ind w:hanging="357"/>
        <w:jc w:val="both"/>
        <w:rPr>
          <w:rFonts w:ascii="Verdana" w:hAnsi="Verdana"/>
          <w:sz w:val="20"/>
          <w:szCs w:val="20"/>
        </w:rPr>
      </w:pPr>
      <w:r w:rsidRPr="00025B12">
        <w:rPr>
          <w:rFonts w:ascii="Verdana" w:hAnsi="Verdana"/>
          <w:sz w:val="20"/>
          <w:szCs w:val="20"/>
        </w:rPr>
        <w:t>Účast na vzdělávání během předcházejících 12 měsíců</w:t>
      </w:r>
    </w:p>
    <w:p w:rsidR="00A33152" w:rsidRPr="00025B12" w:rsidRDefault="00A33152" w:rsidP="005E2CC2">
      <w:pPr>
        <w:numPr>
          <w:ilvl w:val="0"/>
          <w:numId w:val="3"/>
        </w:numPr>
        <w:spacing w:after="0"/>
        <w:ind w:hanging="357"/>
        <w:jc w:val="both"/>
        <w:rPr>
          <w:rFonts w:ascii="Verdana" w:hAnsi="Verdana"/>
          <w:sz w:val="20"/>
          <w:szCs w:val="20"/>
        </w:rPr>
      </w:pPr>
      <w:r w:rsidRPr="00025B12">
        <w:rPr>
          <w:rFonts w:ascii="Verdana" w:hAnsi="Verdana"/>
          <w:sz w:val="20"/>
          <w:szCs w:val="20"/>
        </w:rPr>
        <w:t>Bariéry účasti na dalším vzdělávání</w:t>
      </w:r>
    </w:p>
    <w:p w:rsidR="00A33152" w:rsidRPr="00025B12" w:rsidRDefault="00A33152" w:rsidP="005E2CC2">
      <w:pPr>
        <w:numPr>
          <w:ilvl w:val="0"/>
          <w:numId w:val="3"/>
        </w:numPr>
        <w:jc w:val="both"/>
        <w:rPr>
          <w:rFonts w:ascii="Verdana" w:hAnsi="Verdana"/>
          <w:sz w:val="20"/>
          <w:szCs w:val="20"/>
        </w:rPr>
      </w:pPr>
      <w:r w:rsidRPr="00025B12">
        <w:rPr>
          <w:rFonts w:ascii="Verdana" w:hAnsi="Verdana"/>
          <w:sz w:val="20"/>
          <w:szCs w:val="20"/>
        </w:rPr>
        <w:t>Vzdělávání v</w:t>
      </w:r>
      <w:r w:rsidR="00A10D49" w:rsidRPr="00025B12">
        <w:rPr>
          <w:rFonts w:ascii="Verdana" w:hAnsi="Verdana"/>
          <w:sz w:val="20"/>
          <w:szCs w:val="20"/>
        </w:rPr>
        <w:t> </w:t>
      </w:r>
      <w:r w:rsidRPr="00025B12">
        <w:rPr>
          <w:rFonts w:ascii="Verdana" w:hAnsi="Verdana"/>
          <w:sz w:val="20"/>
          <w:szCs w:val="20"/>
        </w:rPr>
        <w:t>podnicích</w:t>
      </w:r>
      <w:r w:rsidR="00A10D49" w:rsidRPr="00025B12">
        <w:rPr>
          <w:rFonts w:ascii="Verdana" w:hAnsi="Verdana"/>
          <w:sz w:val="20"/>
          <w:szCs w:val="20"/>
        </w:rPr>
        <w:t xml:space="preserve"> (frekvence informací)</w:t>
      </w:r>
    </w:p>
    <w:p w:rsidR="00643B3C" w:rsidRPr="00025B12" w:rsidRDefault="00643B3C" w:rsidP="00643B3C">
      <w:pPr>
        <w:shd w:val="clear" w:color="auto" w:fill="FFFFFF" w:themeFill="background1"/>
        <w:jc w:val="both"/>
        <w:rPr>
          <w:rFonts w:ascii="Verdana" w:hAnsi="Verdana"/>
          <w:noProof/>
          <w:sz w:val="20"/>
          <w:szCs w:val="20"/>
          <w:lang w:eastAsia="cs-CZ"/>
        </w:rPr>
      </w:pPr>
      <w:r w:rsidRPr="00025B12">
        <w:rPr>
          <w:rFonts w:ascii="Verdana" w:hAnsi="Verdana"/>
          <w:noProof/>
          <w:sz w:val="20"/>
          <w:szCs w:val="20"/>
          <w:lang w:eastAsia="cs-CZ"/>
        </w:rPr>
        <w:t>Podrobné výsledky analýzy informačních zdrojů je možné nalézt ve studii S9 - Analýza informačních zdrojů pro monitoring dalšího vzdělávání a identifikace nepokrytých oblastí.</w:t>
      </w:r>
    </w:p>
    <w:p w:rsidR="00643B3C" w:rsidRPr="00025B12" w:rsidRDefault="00643B3C" w:rsidP="00643B3C">
      <w:pPr>
        <w:shd w:val="clear" w:color="auto" w:fill="FFFFFF" w:themeFill="background1"/>
        <w:jc w:val="both"/>
        <w:rPr>
          <w:rFonts w:ascii="Verdana" w:hAnsi="Verdana"/>
          <w:noProof/>
          <w:sz w:val="20"/>
          <w:szCs w:val="20"/>
          <w:lang w:eastAsia="cs-CZ"/>
        </w:rPr>
      </w:pPr>
    </w:p>
    <w:p w:rsidR="00643B3C" w:rsidRPr="00025B12" w:rsidRDefault="00731319" w:rsidP="005E2CC2">
      <w:pPr>
        <w:pStyle w:val="Nadpiskonc2"/>
        <w:numPr>
          <w:ilvl w:val="1"/>
          <w:numId w:val="10"/>
        </w:numPr>
        <w:rPr>
          <w:rFonts w:ascii="Verdana" w:hAnsi="Verdana"/>
          <w:caps/>
        </w:rPr>
      </w:pPr>
      <w:bookmarkStart w:id="29" w:name="_Toc289351174"/>
      <w:bookmarkStart w:id="30" w:name="_Toc289351256"/>
      <w:bookmarkStart w:id="31" w:name="_Toc304898611"/>
      <w:r w:rsidRPr="00025B12">
        <w:rPr>
          <w:rFonts w:ascii="Verdana" w:hAnsi="Verdana"/>
          <w:caps/>
        </w:rPr>
        <w:t>Dosavadní zahraniční zkušenosti se systémem monitoringu dalšího vzdělávání</w:t>
      </w:r>
      <w:bookmarkEnd w:id="29"/>
      <w:bookmarkEnd w:id="30"/>
      <w:r w:rsidR="00A10D49" w:rsidRPr="00025B12">
        <w:rPr>
          <w:rFonts w:ascii="Verdana" w:hAnsi="Verdana"/>
          <w:caps/>
        </w:rPr>
        <w:t xml:space="preserve"> </w:t>
      </w:r>
      <w:r w:rsidR="00637AB8" w:rsidRPr="00025B12">
        <w:rPr>
          <w:rFonts w:ascii="Verdana" w:hAnsi="Verdana"/>
          <w:caps/>
        </w:rPr>
        <w:t>v ČR a v zahraničí</w:t>
      </w:r>
      <w:bookmarkEnd w:id="31"/>
    </w:p>
    <w:p w:rsidR="00D3135D" w:rsidRPr="00025B12" w:rsidRDefault="00D3135D" w:rsidP="00D3135D">
      <w:pPr>
        <w:shd w:val="clear" w:color="auto" w:fill="FFFFFF"/>
        <w:jc w:val="both"/>
        <w:rPr>
          <w:rFonts w:ascii="Verdana" w:hAnsi="Verdana"/>
          <w:noProof/>
          <w:sz w:val="20"/>
          <w:szCs w:val="20"/>
          <w:lang w:eastAsia="cs-CZ"/>
        </w:rPr>
      </w:pPr>
      <w:r w:rsidRPr="00025B12">
        <w:rPr>
          <w:rFonts w:ascii="Verdana" w:hAnsi="Verdana"/>
          <w:noProof/>
          <w:sz w:val="20"/>
          <w:szCs w:val="20"/>
          <w:lang w:eastAsia="cs-CZ"/>
        </w:rPr>
        <w:t xml:space="preserve">Podrobnější výsledky analýzy současného stavu a zahraničních zkušeností byly zpracovány ve studii S5 – </w:t>
      </w:r>
      <w:r w:rsidR="00A10D49" w:rsidRPr="00025B12">
        <w:rPr>
          <w:rFonts w:ascii="Verdana" w:hAnsi="Verdana"/>
          <w:noProof/>
          <w:sz w:val="20"/>
          <w:szCs w:val="20"/>
          <w:lang w:eastAsia="cs-CZ"/>
        </w:rPr>
        <w:t>„</w:t>
      </w:r>
      <w:r w:rsidRPr="00025B12">
        <w:rPr>
          <w:rFonts w:ascii="Verdana" w:hAnsi="Verdana"/>
          <w:noProof/>
          <w:sz w:val="20"/>
          <w:szCs w:val="20"/>
          <w:lang w:eastAsia="cs-CZ"/>
        </w:rPr>
        <w:t>Monitoring dalšího vzdělávání - analyticko-koncepční studie</w:t>
      </w:r>
      <w:r w:rsidR="00A10D49" w:rsidRPr="00025B12">
        <w:rPr>
          <w:rFonts w:ascii="Verdana" w:hAnsi="Verdana"/>
          <w:noProof/>
          <w:sz w:val="20"/>
          <w:szCs w:val="20"/>
          <w:lang w:eastAsia="cs-CZ"/>
        </w:rPr>
        <w:t>“</w:t>
      </w:r>
      <w:r w:rsidRPr="00025B12">
        <w:rPr>
          <w:rFonts w:ascii="Verdana" w:hAnsi="Verdana"/>
          <w:noProof/>
          <w:sz w:val="20"/>
          <w:szCs w:val="20"/>
          <w:lang w:eastAsia="cs-CZ"/>
        </w:rPr>
        <w:t xml:space="preserve"> ze srpna 2010 a v podkladových studiích Monitoring dalšího vzdělávání – analýza současného stavu a </w:t>
      </w:r>
      <w:r w:rsidR="00A10D49" w:rsidRPr="00025B12">
        <w:rPr>
          <w:rFonts w:ascii="Verdana" w:hAnsi="Verdana"/>
          <w:noProof/>
          <w:sz w:val="20"/>
          <w:szCs w:val="20"/>
          <w:lang w:eastAsia="cs-CZ"/>
        </w:rPr>
        <w:t>„</w:t>
      </w:r>
      <w:r w:rsidRPr="00025B12">
        <w:rPr>
          <w:rFonts w:ascii="Verdana" w:hAnsi="Verdana"/>
          <w:noProof/>
          <w:sz w:val="20"/>
          <w:szCs w:val="20"/>
          <w:lang w:eastAsia="cs-CZ"/>
        </w:rPr>
        <w:t>Monitoring dalšího vzdělávání – zahraniční zkušenosti</w:t>
      </w:r>
      <w:r w:rsidR="00A10D49" w:rsidRPr="00025B12">
        <w:rPr>
          <w:rFonts w:ascii="Verdana" w:hAnsi="Verdana"/>
          <w:noProof/>
          <w:sz w:val="20"/>
          <w:szCs w:val="20"/>
          <w:lang w:eastAsia="cs-CZ"/>
        </w:rPr>
        <w:t>“. Stduie zpracoval Národní vzdělávací fond a byly předány zadavateli, tj. Národnímu úsatvu odborného vzdělávání</w:t>
      </w:r>
      <w:r w:rsidRPr="00025B12">
        <w:rPr>
          <w:rFonts w:ascii="Verdana" w:hAnsi="Verdana"/>
          <w:noProof/>
          <w:sz w:val="20"/>
          <w:szCs w:val="20"/>
          <w:lang w:eastAsia="cs-CZ"/>
        </w:rPr>
        <w:t>. Tyto analýzy přinesly následující závěry týkající se využitelnosti dosavadních zkušeností s monitoringem dalšího vzdělávání.</w:t>
      </w:r>
    </w:p>
    <w:p w:rsidR="00731319" w:rsidRPr="00025B12" w:rsidRDefault="00731319" w:rsidP="00731319">
      <w:pPr>
        <w:shd w:val="clear" w:color="auto" w:fill="FFFFFF" w:themeFill="background1"/>
        <w:jc w:val="both"/>
        <w:rPr>
          <w:rFonts w:ascii="Verdana" w:hAnsi="Verdana"/>
          <w:noProof/>
          <w:sz w:val="20"/>
          <w:szCs w:val="20"/>
          <w:lang w:eastAsia="cs-CZ"/>
        </w:rPr>
      </w:pPr>
      <w:r w:rsidRPr="00025B12">
        <w:rPr>
          <w:rFonts w:ascii="Verdana" w:hAnsi="Verdana"/>
          <w:noProof/>
          <w:sz w:val="20"/>
          <w:szCs w:val="20"/>
          <w:lang w:eastAsia="cs-CZ"/>
        </w:rPr>
        <w:t xml:space="preserve">V České republice mohou být jako indikátory o dalším vzdělávání používány zatím zejména systémy ukazatelů vyvinuté na mezinárodní úrovni. Ty však vycházejí pouze z dat, která jsou k dispozici v mezinárodně srovnatelné podobě, a tudíž je jejich komplexita značně omezená. Národní pokusy o vytvoření systému indikátorů byly zatím spíše náhodné a vyvinuté pro specifické účely či nepokrývají dostatečně celou problematiku dalšího vzdělávání. Přitom potřeba monitoringu dalšího vzdělávání a rozvoje indikátorů je zmiňována v mnohých strategických a koncepčních dokumentech na mezinárodní, národní i regionální úrovni. </w:t>
      </w:r>
    </w:p>
    <w:p w:rsidR="00731319" w:rsidRPr="00025B12" w:rsidRDefault="00731319" w:rsidP="000C52A6">
      <w:pPr>
        <w:shd w:val="clear" w:color="auto" w:fill="FFFFFF" w:themeFill="background1"/>
        <w:jc w:val="both"/>
      </w:pPr>
      <w:r w:rsidRPr="00025B12">
        <w:rPr>
          <w:rFonts w:ascii="Verdana" w:hAnsi="Verdana"/>
          <w:noProof/>
          <w:sz w:val="20"/>
          <w:szCs w:val="20"/>
          <w:lang w:eastAsia="cs-CZ"/>
        </w:rPr>
        <w:lastRenderedPageBreak/>
        <w:t>Komplexnost systému indikátorů je možné postihnout například prostřednictvím konceptu CIPOO, který je používán ve švýcarských Indikátorech dalšího vzdělávání. Vzdělávací systém je pomocí tohoto nástroje popsán z hlediska funkčního a účelového v pěti systémových komponentách: kontext (Context), vstup (Input), proces (Process), výstup (Output), výsledek (Outcome).</w:t>
      </w:r>
      <w:r w:rsidR="00A10D49" w:rsidRPr="00025B12">
        <w:rPr>
          <w:rFonts w:ascii="Verdana" w:hAnsi="Verdana"/>
          <w:noProof/>
          <w:sz w:val="20"/>
          <w:szCs w:val="20"/>
          <w:lang w:eastAsia="cs-CZ"/>
        </w:rPr>
        <w:t xml:space="preserve"> Tento koncept byl vyhodnocen jako velmi inspirativní a stav se základem pro návrh souboru ukazatelů dalšího vzdělávání pro ČR (viz kapitola 4)</w:t>
      </w:r>
    </w:p>
    <w:p w:rsidR="00026CCA" w:rsidRPr="00025B12" w:rsidRDefault="007D6C9D" w:rsidP="00A33152">
      <w:pPr>
        <w:jc w:val="both"/>
        <w:rPr>
          <w:rFonts w:ascii="Verdana" w:hAnsi="Verdana"/>
          <w:noProof/>
          <w:sz w:val="20"/>
          <w:szCs w:val="20"/>
          <w:lang w:eastAsia="cs-CZ"/>
        </w:rPr>
      </w:pPr>
      <w:r w:rsidRPr="00025B12">
        <w:rPr>
          <w:rFonts w:ascii="Verdana" w:hAnsi="Verdana"/>
          <w:noProof/>
          <w:sz w:val="20"/>
          <w:szCs w:val="20"/>
          <w:lang w:eastAsia="cs-CZ"/>
        </w:rPr>
        <w:br w:type="page"/>
      </w:r>
    </w:p>
    <w:p w:rsidR="0019561C" w:rsidRPr="00025B12" w:rsidRDefault="00262A6D" w:rsidP="005E2CC2">
      <w:pPr>
        <w:pStyle w:val="Nadpiskonc1"/>
        <w:numPr>
          <w:ilvl w:val="0"/>
          <w:numId w:val="10"/>
        </w:numPr>
        <w:pBdr>
          <w:top w:val="single" w:sz="4" w:space="1" w:color="000000"/>
          <w:left w:val="single" w:sz="4" w:space="4" w:color="000000"/>
          <w:bottom w:val="single" w:sz="4" w:space="1" w:color="000000"/>
          <w:right w:val="single" w:sz="4" w:space="4" w:color="000000"/>
        </w:pBdr>
        <w:rPr>
          <w:rFonts w:ascii="Verdana" w:hAnsi="Verdana"/>
          <w:sz w:val="36"/>
          <w:szCs w:val="36"/>
        </w:rPr>
      </w:pPr>
      <w:bookmarkStart w:id="32" w:name="_Toc304898612"/>
      <w:r w:rsidRPr="00025B12">
        <w:rPr>
          <w:rFonts w:ascii="Verdana" w:hAnsi="Verdana"/>
          <w:sz w:val="36"/>
          <w:szCs w:val="36"/>
        </w:rPr>
        <w:t>INDIKÁTORY</w:t>
      </w:r>
      <w:bookmarkEnd w:id="32"/>
    </w:p>
    <w:p w:rsidR="0019561C" w:rsidRPr="00025B12" w:rsidRDefault="000D085C" w:rsidP="005E2CC2">
      <w:pPr>
        <w:pStyle w:val="Nadpiskonc2"/>
        <w:numPr>
          <w:ilvl w:val="1"/>
          <w:numId w:val="10"/>
        </w:numPr>
        <w:rPr>
          <w:rFonts w:ascii="Verdana" w:hAnsi="Verdana"/>
          <w:caps/>
        </w:rPr>
      </w:pPr>
      <w:bookmarkStart w:id="33" w:name="_Toc289351176"/>
      <w:bookmarkStart w:id="34" w:name="_Toc289351258"/>
      <w:bookmarkStart w:id="35" w:name="_Toc304898613"/>
      <w:r w:rsidRPr="00025B12">
        <w:rPr>
          <w:rFonts w:ascii="Verdana" w:hAnsi="Verdana"/>
          <w:caps/>
        </w:rPr>
        <w:t xml:space="preserve">POPIS </w:t>
      </w:r>
      <w:r w:rsidR="0019561C" w:rsidRPr="00025B12">
        <w:rPr>
          <w:rFonts w:ascii="Verdana" w:hAnsi="Verdana"/>
          <w:caps/>
        </w:rPr>
        <w:t>Systém</w:t>
      </w:r>
      <w:r w:rsidRPr="00025B12">
        <w:rPr>
          <w:rFonts w:ascii="Verdana" w:hAnsi="Verdana"/>
          <w:caps/>
        </w:rPr>
        <w:t>U</w:t>
      </w:r>
      <w:r w:rsidR="0019561C" w:rsidRPr="00025B12">
        <w:rPr>
          <w:rFonts w:ascii="Verdana" w:hAnsi="Verdana"/>
          <w:caps/>
        </w:rPr>
        <w:t xml:space="preserve"> indikátorů</w:t>
      </w:r>
      <w:bookmarkEnd w:id="33"/>
      <w:bookmarkEnd w:id="34"/>
      <w:bookmarkEnd w:id="35"/>
    </w:p>
    <w:p w:rsidR="008961C6" w:rsidRPr="00025B12" w:rsidRDefault="008961C6" w:rsidP="0099681A">
      <w:pPr>
        <w:jc w:val="both"/>
        <w:rPr>
          <w:rFonts w:ascii="Verdana" w:hAnsi="Verdana"/>
          <w:noProof/>
          <w:sz w:val="20"/>
          <w:szCs w:val="20"/>
          <w:lang w:eastAsia="cs-CZ"/>
        </w:rPr>
      </w:pPr>
    </w:p>
    <w:p w:rsidR="008961C6" w:rsidRPr="00025B12" w:rsidRDefault="008961C6" w:rsidP="00087018">
      <w:pPr>
        <w:pStyle w:val="nadkonc3"/>
        <w:numPr>
          <w:ilvl w:val="2"/>
          <w:numId w:val="10"/>
        </w:numPr>
        <w:rPr>
          <w:caps/>
        </w:rPr>
      </w:pPr>
      <w:bookmarkStart w:id="36" w:name="_Toc304898614"/>
      <w:r w:rsidRPr="00025B12">
        <w:rPr>
          <w:caps/>
        </w:rPr>
        <w:t>Pilíře – oblasti - indikátory</w:t>
      </w:r>
      <w:bookmarkEnd w:id="36"/>
    </w:p>
    <w:p w:rsidR="00D3135D" w:rsidRPr="00025B12" w:rsidRDefault="0099681A" w:rsidP="0099681A">
      <w:pPr>
        <w:jc w:val="both"/>
        <w:rPr>
          <w:rFonts w:ascii="Verdana" w:hAnsi="Verdana"/>
          <w:noProof/>
          <w:sz w:val="20"/>
          <w:szCs w:val="20"/>
          <w:lang w:eastAsia="cs-CZ"/>
        </w:rPr>
      </w:pPr>
      <w:r w:rsidRPr="00025B12">
        <w:rPr>
          <w:rFonts w:ascii="Verdana" w:hAnsi="Verdana"/>
          <w:noProof/>
          <w:sz w:val="20"/>
          <w:szCs w:val="20"/>
          <w:lang w:eastAsia="cs-CZ"/>
        </w:rPr>
        <w:t xml:space="preserve">Návrh systému indikátorů </w:t>
      </w:r>
      <w:r w:rsidR="004B6D59" w:rsidRPr="00025B12">
        <w:rPr>
          <w:rFonts w:ascii="Verdana" w:hAnsi="Verdana"/>
          <w:noProof/>
          <w:sz w:val="20"/>
          <w:szCs w:val="20"/>
          <w:lang w:eastAsia="cs-CZ"/>
        </w:rPr>
        <w:t>vychází ze struktury 4 pilířů, které by měl monitoring dalšího vzdělávání pokrývat.</w:t>
      </w:r>
    </w:p>
    <w:p w:rsidR="00D3135D" w:rsidRPr="00025B12" w:rsidRDefault="00D3135D" w:rsidP="0099681A">
      <w:pPr>
        <w:jc w:val="both"/>
        <w:rPr>
          <w:rFonts w:ascii="Verdana" w:hAnsi="Verdana"/>
          <w:noProof/>
          <w:sz w:val="20"/>
          <w:szCs w:val="20"/>
          <w:lang w:eastAsia="cs-CZ"/>
        </w:rPr>
      </w:pPr>
      <w:r w:rsidRPr="00025B12">
        <w:rPr>
          <w:rFonts w:ascii="Verdana" w:hAnsi="Verdana"/>
          <w:noProof/>
          <w:sz w:val="20"/>
          <w:szCs w:val="20"/>
          <w:lang w:eastAsia="cs-CZ"/>
        </w:rPr>
        <w:t>Tyto hlavní pilíře tvoří:</w:t>
      </w:r>
    </w:p>
    <w:p w:rsidR="00D3135D" w:rsidRPr="00025B12" w:rsidRDefault="00D3135D" w:rsidP="005E2CC2">
      <w:pPr>
        <w:numPr>
          <w:ilvl w:val="0"/>
          <w:numId w:val="8"/>
        </w:numPr>
        <w:jc w:val="both"/>
        <w:rPr>
          <w:rFonts w:ascii="Verdana" w:hAnsi="Verdana"/>
          <w:noProof/>
          <w:sz w:val="20"/>
          <w:szCs w:val="20"/>
          <w:lang w:eastAsia="cs-CZ"/>
        </w:rPr>
      </w:pPr>
      <w:r w:rsidRPr="00025B12">
        <w:rPr>
          <w:rFonts w:ascii="Verdana" w:hAnsi="Verdana"/>
          <w:noProof/>
          <w:sz w:val="20"/>
          <w:szCs w:val="20"/>
          <w:lang w:eastAsia="cs-CZ"/>
        </w:rPr>
        <w:t>Kontext dalšího vzdělávání (charakteristiky vnějšího prostředí, které další vzdělávání ovlivňují)</w:t>
      </w:r>
    </w:p>
    <w:p w:rsidR="00D3135D" w:rsidRPr="00025B12" w:rsidRDefault="00D3135D" w:rsidP="005E2CC2">
      <w:pPr>
        <w:numPr>
          <w:ilvl w:val="0"/>
          <w:numId w:val="8"/>
        </w:numPr>
        <w:jc w:val="both"/>
        <w:rPr>
          <w:rFonts w:ascii="Verdana" w:hAnsi="Verdana"/>
          <w:noProof/>
          <w:sz w:val="20"/>
          <w:szCs w:val="20"/>
          <w:lang w:eastAsia="cs-CZ"/>
        </w:rPr>
      </w:pPr>
      <w:r w:rsidRPr="00025B12">
        <w:rPr>
          <w:rFonts w:ascii="Verdana" w:hAnsi="Verdana"/>
          <w:noProof/>
          <w:sz w:val="20"/>
          <w:szCs w:val="20"/>
          <w:lang w:eastAsia="cs-CZ"/>
        </w:rPr>
        <w:t>Vstupy do dalšího vzdělávání (zdroje, které další vzdělávání využívá – finance, lidské zdroje)</w:t>
      </w:r>
    </w:p>
    <w:p w:rsidR="00D3135D" w:rsidRPr="00025B12" w:rsidRDefault="00D3135D" w:rsidP="005E2CC2">
      <w:pPr>
        <w:numPr>
          <w:ilvl w:val="0"/>
          <w:numId w:val="8"/>
        </w:numPr>
        <w:jc w:val="both"/>
        <w:rPr>
          <w:rFonts w:ascii="Verdana" w:hAnsi="Verdana"/>
          <w:noProof/>
          <w:sz w:val="20"/>
          <w:szCs w:val="20"/>
          <w:lang w:eastAsia="cs-CZ"/>
        </w:rPr>
      </w:pPr>
      <w:r w:rsidRPr="00025B12">
        <w:rPr>
          <w:rFonts w:ascii="Verdana" w:hAnsi="Verdana"/>
          <w:noProof/>
          <w:sz w:val="20"/>
          <w:szCs w:val="20"/>
          <w:lang w:eastAsia="cs-CZ"/>
        </w:rPr>
        <w:t>Procesy dalšího vzdělávání (způsoby, jakými je další vzdělávání realizováno – nabídka DV, kvalita, vzdělávací politika podniků)</w:t>
      </w:r>
    </w:p>
    <w:p w:rsidR="00D3135D" w:rsidRPr="00025B12" w:rsidRDefault="00D3135D" w:rsidP="005E2CC2">
      <w:pPr>
        <w:numPr>
          <w:ilvl w:val="0"/>
          <w:numId w:val="8"/>
        </w:numPr>
        <w:jc w:val="both"/>
        <w:rPr>
          <w:rFonts w:ascii="Verdana" w:hAnsi="Verdana"/>
          <w:noProof/>
          <w:sz w:val="20"/>
          <w:szCs w:val="20"/>
          <w:lang w:eastAsia="cs-CZ"/>
        </w:rPr>
      </w:pPr>
      <w:r w:rsidRPr="00025B12">
        <w:rPr>
          <w:rFonts w:ascii="Verdana" w:hAnsi="Verdana"/>
          <w:noProof/>
          <w:sz w:val="20"/>
          <w:szCs w:val="20"/>
          <w:lang w:eastAsia="cs-CZ"/>
        </w:rPr>
        <w:t>Výstupy dalšího vzdělávání (účast na různých formách dalšího vzdělávání)</w:t>
      </w:r>
    </w:p>
    <w:p w:rsidR="00D3135D" w:rsidRPr="00025B12" w:rsidRDefault="006D0AE1" w:rsidP="0099681A">
      <w:pPr>
        <w:jc w:val="both"/>
        <w:rPr>
          <w:rFonts w:ascii="Verdana" w:hAnsi="Verdana"/>
          <w:noProof/>
          <w:sz w:val="20"/>
          <w:szCs w:val="20"/>
          <w:lang w:eastAsia="cs-CZ"/>
        </w:rPr>
      </w:pPr>
      <w:r w:rsidRPr="00025B12">
        <w:rPr>
          <w:rFonts w:ascii="Verdana" w:hAnsi="Verdana"/>
          <w:noProof/>
          <w:sz w:val="20"/>
          <w:szCs w:val="20"/>
          <w:lang w:eastAsia="cs-CZ"/>
        </w:rPr>
        <w:t>Koncept pilířů vychází z metodiky CIPOO (context-input-process-output-outcome), která je používána pro monitoring vzdělávání ve Švýcarsku</w:t>
      </w:r>
      <w:r w:rsidR="00D3135D" w:rsidRPr="00025B12">
        <w:rPr>
          <w:rFonts w:ascii="Verdana" w:hAnsi="Verdana"/>
          <w:noProof/>
          <w:sz w:val="20"/>
          <w:szCs w:val="20"/>
          <w:lang w:eastAsia="cs-CZ"/>
        </w:rPr>
        <w:t xml:space="preserve"> (viz výše)</w:t>
      </w:r>
      <w:r w:rsidRPr="00025B12">
        <w:rPr>
          <w:rFonts w:ascii="Verdana" w:hAnsi="Verdana"/>
          <w:noProof/>
          <w:sz w:val="20"/>
          <w:szCs w:val="20"/>
          <w:lang w:eastAsia="cs-CZ"/>
        </w:rPr>
        <w:t>. Mezi výsledky jsou zde řazeny např. indikátory týkající se vzdělanostní úrovně populace, ekonomické aktivity apod. Protože však na tyto výsledky má vliv nejen rozvoj dalšího vzdělávání, ale také celá řada dalších faktorů (počáteční vzdělávání, ekonomická situace v zemi apod.)</w:t>
      </w:r>
      <w:r w:rsidR="00FD24B3" w:rsidRPr="00025B12">
        <w:rPr>
          <w:rFonts w:ascii="Verdana" w:hAnsi="Verdana"/>
          <w:noProof/>
          <w:sz w:val="20"/>
          <w:szCs w:val="20"/>
          <w:lang w:eastAsia="cs-CZ"/>
        </w:rPr>
        <w:t>,</w:t>
      </w:r>
      <w:r w:rsidRPr="00025B12">
        <w:rPr>
          <w:rFonts w:ascii="Verdana" w:hAnsi="Verdana"/>
          <w:noProof/>
          <w:sz w:val="20"/>
          <w:szCs w:val="20"/>
          <w:lang w:eastAsia="cs-CZ"/>
        </w:rPr>
        <w:t xml:space="preserve"> a přímé výsledky dalšího vzdělávání lze jen </w:t>
      </w:r>
      <w:r w:rsidR="00D3135D" w:rsidRPr="00025B12">
        <w:rPr>
          <w:rFonts w:ascii="Verdana" w:hAnsi="Verdana"/>
          <w:noProof/>
          <w:sz w:val="20"/>
          <w:szCs w:val="20"/>
          <w:lang w:eastAsia="cs-CZ"/>
        </w:rPr>
        <w:t xml:space="preserve">velmi těžko vyhodnocovat, bude </w:t>
      </w:r>
      <w:r w:rsidRPr="00025B12">
        <w:rPr>
          <w:rFonts w:ascii="Verdana" w:hAnsi="Verdana"/>
          <w:noProof/>
          <w:sz w:val="20"/>
          <w:szCs w:val="20"/>
          <w:lang w:eastAsia="cs-CZ"/>
        </w:rPr>
        <w:t>rozvíjena pouze čtyřpilířová varianta systému. Indikátory, které by bylo možno považovat za výsledkové budou obsaženy v pilíři kontextuálním</w:t>
      </w:r>
      <w:r w:rsidR="00D3135D" w:rsidRPr="00025B12">
        <w:rPr>
          <w:rFonts w:ascii="Verdana" w:hAnsi="Verdana"/>
          <w:noProof/>
          <w:sz w:val="20"/>
          <w:szCs w:val="20"/>
          <w:lang w:eastAsia="cs-CZ"/>
        </w:rPr>
        <w:t xml:space="preserve"> z důvodu vzájemné interakce</w:t>
      </w:r>
      <w:r w:rsidRPr="00025B12">
        <w:rPr>
          <w:rFonts w:ascii="Verdana" w:hAnsi="Verdana"/>
          <w:noProof/>
          <w:sz w:val="20"/>
          <w:szCs w:val="20"/>
          <w:lang w:eastAsia="cs-CZ"/>
        </w:rPr>
        <w:t xml:space="preserve">. </w:t>
      </w:r>
    </w:p>
    <w:p w:rsidR="008961C6" w:rsidRPr="00025B12" w:rsidRDefault="00130152" w:rsidP="0099681A">
      <w:pPr>
        <w:jc w:val="both"/>
        <w:rPr>
          <w:rFonts w:ascii="Verdana" w:hAnsi="Verdana"/>
          <w:noProof/>
          <w:sz w:val="20"/>
          <w:szCs w:val="20"/>
          <w:lang w:eastAsia="cs-CZ"/>
        </w:rPr>
      </w:pPr>
      <w:r w:rsidRPr="00025B12">
        <w:rPr>
          <w:rFonts w:ascii="Verdana" w:hAnsi="Verdana"/>
          <w:noProof/>
          <w:sz w:val="20"/>
          <w:szCs w:val="20"/>
          <w:lang w:eastAsia="cs-CZ"/>
        </w:rPr>
        <w:t>V rámci každéh</w:t>
      </w:r>
      <w:r w:rsidR="0018169D" w:rsidRPr="00025B12">
        <w:rPr>
          <w:rFonts w:ascii="Verdana" w:hAnsi="Verdana"/>
          <w:noProof/>
          <w:sz w:val="20"/>
          <w:szCs w:val="20"/>
          <w:lang w:eastAsia="cs-CZ"/>
        </w:rPr>
        <w:t>o pilíře je</w:t>
      </w:r>
      <w:r w:rsidRPr="00025B12">
        <w:rPr>
          <w:rFonts w:ascii="Verdana" w:hAnsi="Verdana"/>
          <w:noProof/>
          <w:sz w:val="20"/>
          <w:szCs w:val="20"/>
          <w:lang w:eastAsia="cs-CZ"/>
        </w:rPr>
        <w:t xml:space="preserve"> sledováno</w:t>
      </w:r>
      <w:r w:rsidR="007D6C9D" w:rsidRPr="00025B12">
        <w:rPr>
          <w:rFonts w:ascii="Verdana" w:hAnsi="Verdana"/>
          <w:noProof/>
          <w:sz w:val="20"/>
          <w:szCs w:val="20"/>
          <w:lang w:eastAsia="cs-CZ"/>
        </w:rPr>
        <w:t xml:space="preserve"> </w:t>
      </w:r>
      <w:r w:rsidR="0018169D" w:rsidRPr="00025B12">
        <w:rPr>
          <w:rFonts w:ascii="Verdana" w:hAnsi="Verdana"/>
          <w:noProof/>
          <w:sz w:val="20"/>
          <w:szCs w:val="20"/>
          <w:lang w:eastAsia="cs-CZ"/>
        </w:rPr>
        <w:t>4-6</w:t>
      </w:r>
      <w:r w:rsidRPr="00025B12">
        <w:rPr>
          <w:rFonts w:ascii="Verdana" w:hAnsi="Verdana"/>
          <w:noProof/>
          <w:sz w:val="20"/>
          <w:szCs w:val="20"/>
          <w:lang w:eastAsia="cs-CZ"/>
        </w:rPr>
        <w:t xml:space="preserve"> oblastí</w:t>
      </w:r>
      <w:r w:rsidR="007D6C9D" w:rsidRPr="00025B12">
        <w:rPr>
          <w:rFonts w:ascii="Verdana" w:hAnsi="Verdana"/>
          <w:noProof/>
          <w:sz w:val="20"/>
          <w:szCs w:val="20"/>
          <w:lang w:eastAsia="cs-CZ"/>
        </w:rPr>
        <w:t xml:space="preserve">, které </w:t>
      </w:r>
      <w:r w:rsidR="00382FF3" w:rsidRPr="00025B12">
        <w:rPr>
          <w:rFonts w:ascii="Verdana" w:hAnsi="Verdana"/>
          <w:noProof/>
          <w:sz w:val="20"/>
          <w:szCs w:val="20"/>
          <w:lang w:eastAsia="cs-CZ"/>
        </w:rPr>
        <w:t xml:space="preserve">jsou </w:t>
      </w:r>
      <w:r w:rsidRPr="00025B12">
        <w:rPr>
          <w:rFonts w:ascii="Verdana" w:hAnsi="Verdana"/>
          <w:noProof/>
          <w:sz w:val="20"/>
          <w:szCs w:val="20"/>
          <w:lang w:eastAsia="cs-CZ"/>
        </w:rPr>
        <w:t>podrobně</w:t>
      </w:r>
      <w:r w:rsidR="007D6C9D" w:rsidRPr="00025B12">
        <w:rPr>
          <w:rFonts w:ascii="Verdana" w:hAnsi="Verdana"/>
          <w:noProof/>
          <w:sz w:val="20"/>
          <w:szCs w:val="20"/>
          <w:lang w:eastAsia="cs-CZ"/>
        </w:rPr>
        <w:t xml:space="preserve"> monitorovány prostřednictvím jednotlivých indikátorů.</w:t>
      </w:r>
      <w:r w:rsidR="008961C6" w:rsidRPr="00025B12">
        <w:rPr>
          <w:rFonts w:ascii="Verdana" w:hAnsi="Verdana"/>
          <w:noProof/>
          <w:sz w:val="20"/>
          <w:szCs w:val="20"/>
          <w:lang w:eastAsia="cs-CZ"/>
        </w:rPr>
        <w:t xml:space="preserve"> Indikátory se dělí na klíčové a doplňkové. Způsob</w:t>
      </w:r>
      <w:r w:rsidR="00925BF6" w:rsidRPr="00025B12">
        <w:rPr>
          <w:rFonts w:ascii="Verdana" w:hAnsi="Verdana"/>
          <w:noProof/>
          <w:sz w:val="20"/>
          <w:szCs w:val="20"/>
          <w:lang w:eastAsia="cs-CZ"/>
        </w:rPr>
        <w:t xml:space="preserve"> rozdělení indikátorů na klíčové a doplňkové je popsán dále.</w:t>
      </w:r>
    </w:p>
    <w:p w:rsidR="00A24050" w:rsidRPr="00025B12" w:rsidRDefault="00A24050" w:rsidP="00A24050">
      <w:pPr>
        <w:jc w:val="both"/>
        <w:rPr>
          <w:rFonts w:ascii="Verdana" w:hAnsi="Verdana"/>
          <w:sz w:val="20"/>
          <w:szCs w:val="20"/>
        </w:rPr>
      </w:pPr>
      <w:r w:rsidRPr="00025B12">
        <w:rPr>
          <w:rFonts w:ascii="Verdana" w:hAnsi="Verdana"/>
          <w:sz w:val="20"/>
          <w:szCs w:val="20"/>
        </w:rPr>
        <w:t xml:space="preserve">Pilíře a oblasti se snaží pokrýt </w:t>
      </w:r>
      <w:r w:rsidR="00FD24B3" w:rsidRPr="00025B12">
        <w:rPr>
          <w:rFonts w:ascii="Verdana" w:hAnsi="Verdana"/>
          <w:sz w:val="20"/>
          <w:szCs w:val="20"/>
        </w:rPr>
        <w:t>problematiku dalšího vzdělávání komplexně</w:t>
      </w:r>
      <w:r w:rsidRPr="00025B12">
        <w:rPr>
          <w:rFonts w:ascii="Verdana" w:hAnsi="Verdana"/>
          <w:sz w:val="20"/>
          <w:szCs w:val="20"/>
        </w:rPr>
        <w:t>, jako celek by měly zajímat zejména decizní sféru. Představují však spíše koncepční rámec pro tvorbu s</w:t>
      </w:r>
      <w:r w:rsidR="00D505BD" w:rsidRPr="00025B12">
        <w:rPr>
          <w:rFonts w:ascii="Verdana" w:hAnsi="Verdana"/>
          <w:sz w:val="20"/>
          <w:szCs w:val="20"/>
        </w:rPr>
        <w:t>ouboru</w:t>
      </w:r>
      <w:r w:rsidRPr="00025B12">
        <w:rPr>
          <w:rFonts w:ascii="Verdana" w:hAnsi="Verdana"/>
          <w:sz w:val="20"/>
          <w:szCs w:val="20"/>
        </w:rPr>
        <w:t xml:space="preserve"> než způsob předávání informací. Ten bude řešen v rámci aktivity III.C</w:t>
      </w:r>
      <w:r w:rsidR="00DE1EC7" w:rsidRPr="00025B12">
        <w:rPr>
          <w:rFonts w:ascii="Verdana" w:hAnsi="Verdana"/>
          <w:sz w:val="20"/>
          <w:szCs w:val="20"/>
        </w:rPr>
        <w:t xml:space="preserve"> zakázky projektu Koncept</w:t>
      </w:r>
      <w:r w:rsidRPr="00025B12">
        <w:rPr>
          <w:rFonts w:ascii="Verdana" w:hAnsi="Verdana"/>
          <w:sz w:val="20"/>
          <w:szCs w:val="20"/>
        </w:rPr>
        <w:t>. Způsob předávání informací jednotlivým uživatelským skupinám nebude striktně svázán konceptem pilířů a bude více vycházet z jejich individuálních potřeb.</w:t>
      </w:r>
      <w:r w:rsidR="00BD59E8" w:rsidRPr="00025B12">
        <w:rPr>
          <w:rFonts w:ascii="Verdana" w:hAnsi="Verdana"/>
          <w:sz w:val="20"/>
          <w:szCs w:val="20"/>
        </w:rPr>
        <w:t xml:space="preserve"> Rovněž forma prezent</w:t>
      </w:r>
      <w:r w:rsidR="00367CA8" w:rsidRPr="00025B12">
        <w:rPr>
          <w:rFonts w:ascii="Verdana" w:hAnsi="Verdana"/>
          <w:sz w:val="20"/>
          <w:szCs w:val="20"/>
        </w:rPr>
        <w:t>ace indikátoru se bude lišit od dat shromážděných v příloze 4. Příloha 4 je spíše ukázkou dat, která budou v pozadí za prezentací daného indikátoru.</w:t>
      </w:r>
    </w:p>
    <w:p w:rsidR="00925BF6" w:rsidRPr="00025B12" w:rsidRDefault="00925BF6" w:rsidP="0099681A">
      <w:pPr>
        <w:jc w:val="both"/>
        <w:rPr>
          <w:rFonts w:ascii="Verdana" w:hAnsi="Verdana"/>
          <w:noProof/>
          <w:sz w:val="20"/>
          <w:szCs w:val="20"/>
          <w:lang w:eastAsia="cs-CZ"/>
        </w:rPr>
      </w:pPr>
    </w:p>
    <w:p w:rsidR="00A24050" w:rsidRPr="00025B12" w:rsidRDefault="00665F1D" w:rsidP="0099681A">
      <w:pPr>
        <w:jc w:val="both"/>
        <w:rPr>
          <w:rFonts w:ascii="Verdana" w:hAnsi="Verdana"/>
          <w:noProof/>
          <w:sz w:val="20"/>
          <w:szCs w:val="20"/>
          <w:lang w:eastAsia="cs-CZ"/>
        </w:rPr>
      </w:pPr>
      <w:r>
        <w:rPr>
          <w:rFonts w:ascii="Verdana" w:hAnsi="Verdana"/>
          <w:sz w:val="20"/>
          <w:szCs w:val="20"/>
        </w:rPr>
      </w:r>
      <w:r>
        <w:rPr>
          <w:rFonts w:ascii="Verdana" w:hAnsi="Verdana"/>
          <w:sz w:val="20"/>
          <w:szCs w:val="20"/>
        </w:rPr>
        <w:pict>
          <v:group id="_x0000_s1273" editas="canvas" style="width:453.6pt;height:510pt;mso-position-horizontal-relative:char;mso-position-vertical-relative:line" coordorigin="1417,4207" coordsize="9072,10200">
            <o:lock v:ext="edit" aspectratio="t"/>
            <v:shape id="_x0000_s1274" type="#_x0000_t75" style="position:absolute;left:1417;top:4207;width:9072;height:102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75" type="#_x0000_t202" style="position:absolute;left:8055;top:4359;width:1800;height:9825" fillcolor="#a68048" stroked="f">
              <v:fill opacity="13107f"/>
              <v:textbox style="mso-next-textbox:#_x0000_s1275">
                <w:txbxContent>
                  <w:p w:rsidR="000E2AEC" w:rsidRPr="007C7A45" w:rsidRDefault="000E2AEC" w:rsidP="00A24050">
                    <w:pPr>
                      <w:jc w:val="center"/>
                      <w:rPr>
                        <w:b/>
                        <w:u w:val="single"/>
                      </w:rPr>
                    </w:pPr>
                    <w:r>
                      <w:rPr>
                        <w:b/>
                        <w:u w:val="single"/>
                      </w:rPr>
                      <w:t>Indikátory</w:t>
                    </w:r>
                  </w:p>
                </w:txbxContent>
              </v:textbox>
            </v:shape>
            <v:shape id="_x0000_s1276" type="#_x0000_t202" style="position:absolute;left:4725;top:4359;width:2535;height:9825" fillcolor="#186631" stroked="f">
              <v:fill opacity="13107f"/>
              <v:textbox style="mso-next-textbox:#_x0000_s1276">
                <w:txbxContent>
                  <w:p w:rsidR="000E2AEC" w:rsidRPr="007C7A45" w:rsidRDefault="000E2AEC" w:rsidP="00A24050">
                    <w:pPr>
                      <w:jc w:val="center"/>
                      <w:rPr>
                        <w:b/>
                        <w:u w:val="single"/>
                      </w:rPr>
                    </w:pPr>
                    <w:r w:rsidRPr="007C7A45">
                      <w:rPr>
                        <w:b/>
                        <w:u w:val="single"/>
                      </w:rPr>
                      <w:t>Oblasti</w:t>
                    </w:r>
                  </w:p>
                </w:txbxContent>
              </v:textbox>
            </v:shape>
            <v:shape id="_x0000_s1277" type="#_x0000_t202" style="position:absolute;left:1740;top:4359;width:2280;height:9825" fillcolor="#693399" stroked="f">
              <v:fill opacity="13107f"/>
              <v:textbox style="mso-next-textbox:#_x0000_s1277">
                <w:txbxContent>
                  <w:p w:rsidR="000E2AEC" w:rsidRPr="007C7A45" w:rsidRDefault="000E2AEC" w:rsidP="00A24050">
                    <w:pPr>
                      <w:jc w:val="center"/>
                      <w:rPr>
                        <w:b/>
                        <w:u w:val="single"/>
                      </w:rPr>
                    </w:pPr>
                    <w:r w:rsidRPr="007C7A45">
                      <w:rPr>
                        <w:b/>
                        <w:u w:val="single"/>
                      </w:rPr>
                      <w:t>Pilíře</w:t>
                    </w:r>
                  </w:p>
                </w:txbxContent>
              </v:textbox>
            </v:shape>
            <v:roundrect id="_x0000_s1278" style="position:absolute;left:1963;top:9728;width:1756;height:752" arcsize="10923f"/>
            <v:group id="_x0000_s1279" style="position:absolute;left:1965;top:4954;width:1755;height:750" coordorigin="2797,1761" coordsize="1393,596">
              <v:roundrect id="_x0000_s1280" style="position:absolute;left:2797;top:1761;width:1393;height:596" arcsize="10923f"/>
              <v:shape id="_x0000_s1281" type="#_x0000_t202" style="position:absolute;left:2916;top:1869;width:1143;height:416" stroked="f">
                <v:textbox style="mso-next-textbox:#_x0000_s1281">
                  <w:txbxContent>
                    <w:p w:rsidR="000E2AEC" w:rsidRDefault="000E2AEC" w:rsidP="00A24050">
                      <w:r>
                        <w:t>1. Kontext</w:t>
                      </w:r>
                    </w:p>
                  </w:txbxContent>
                </v:textbox>
              </v:shape>
            </v:group>
            <v:group id="_x0000_s1282" style="position:absolute;left:1963;top:7420;width:1756;height:751" coordorigin="2796,2738" coordsize="1394,596">
              <v:roundrect id="_x0000_s1283" style="position:absolute;left:2796;top:2738;width:1394;height:596" arcsize="10923f"/>
              <v:shape id="_x0000_s1284" type="#_x0000_t202" style="position:absolute;left:2915;top:2833;width:1144;height:416" stroked="f">
                <v:textbox style="mso-next-textbox:#_x0000_s1284">
                  <w:txbxContent>
                    <w:p w:rsidR="000E2AEC" w:rsidRDefault="000E2AEC" w:rsidP="00A24050">
                      <w:r>
                        <w:t>2. Vstupy</w:t>
                      </w:r>
                    </w:p>
                  </w:txbxContent>
                </v:textbox>
              </v:shape>
            </v:group>
            <v:shape id="_x0000_s1285" type="#_x0000_t202" style="position:absolute;left:2116;top:9728;width:1440;height:523" stroked="f">
              <v:textbox style="mso-next-textbox:#_x0000_s1285">
                <w:txbxContent>
                  <w:p w:rsidR="000E2AEC" w:rsidRDefault="000E2AEC" w:rsidP="00A24050">
                    <w:r>
                      <w:t>3. Procesy</w:t>
                    </w:r>
                  </w:p>
                </w:txbxContent>
              </v:textbox>
            </v:shape>
            <v:group id="_x0000_s1286" style="position:absolute;left:1963;top:11815;width:1757;height:751" coordorigin="2797,4631" coordsize="1394,596">
              <v:roundrect id="_x0000_s1287" style="position:absolute;left:2797;top:4631;width:1394;height:596" arcsize="10923f"/>
              <v:shape id="_x0000_s1288" type="#_x0000_t202" style="position:absolute;left:2915;top:4714;width:1143;height:416" stroked="f">
                <v:textbox style="mso-next-textbox:#_x0000_s1288">
                  <w:txbxContent>
                    <w:p w:rsidR="000E2AEC" w:rsidRDefault="000E2AEC" w:rsidP="00A24050">
                      <w:r>
                        <w:t>4. Výstupy</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89" type="#_x0000_t176" style="position:absolute;left:5006;top:4954;width:2144;height:569"/>
            <v:shape id="_x0000_s1290" type="#_x0000_t176" style="position:absolute;left:5006;top:5704;width:2144;height:570"/>
            <v:shape id="_x0000_s1291" type="#_x0000_t176" style="position:absolute;left:5008;top:13373;width:2144;height:571"/>
            <v:shape id="_x0000_s1292" type="#_x0000_t176" style="position:absolute;left:5011;top:11105;width:2144;height:571"/>
            <v:shape id="_x0000_s1293" type="#_x0000_t176" style="position:absolute;left:5007;top:8726;width:2145;height:569"/>
            <v:shape id="_x0000_s1294" type="#_x0000_t176" style="position:absolute;left:5006;top:7360;width:2146;height:571"/>
            <v:shape id="_x0000_s1295" type="#_x0000_t176" style="position:absolute;left:5008;top:10251;width:2144;height:570"/>
            <v:shape id="_x0000_s1296" type="#_x0000_t176" style="position:absolute;left:5007;top:9528;width:2145;height:571"/>
            <v:shape id="_x0000_s1297" type="#_x0000_t176" style="position:absolute;left:5010;top:12655;width:2142;height:569"/>
            <v:shape id="_x0000_s1298" type="#_x0000_t176" style="position:absolute;left:5010;top:11875;width:2145;height:570"/>
            <v:shape id="_x0000_s1299" type="#_x0000_t176" style="position:absolute;left:5006;top:8064;width:2146;height:570"/>
            <v:shape id="_x0000_s1300" type="#_x0000_t176" style="position:absolute;left:5011;top:6370;width:2146;height:570"/>
            <v:shape id="_x0000_s1301" type="#_x0000_t202" style="position:absolute;left:5175;top:5083;width:1650;height:440" filled="f" stroked="f">
              <v:textbox style="mso-next-textbox:#_x0000_s1301">
                <w:txbxContent>
                  <w:p w:rsidR="000E2AEC" w:rsidRDefault="000E2AEC" w:rsidP="00A24050">
                    <w:r>
                      <w:t>Oblast 1.1</w:t>
                    </w:r>
                  </w:p>
                </w:txbxContent>
              </v:textbox>
            </v:shape>
            <v:shape id="_x0000_s1302" type="#_x0000_t202" style="position:absolute;left:5175;top:5764;width:1650;height:441" filled="f" stroked="f">
              <v:textbox style="mso-next-textbox:#_x0000_s1302">
                <w:txbxContent>
                  <w:p w:rsidR="000E2AEC" w:rsidRDefault="000E2AEC" w:rsidP="00A24050">
                    <w:r>
                      <w:t>Oblast 1.2</w:t>
                    </w:r>
                  </w:p>
                </w:txbxContent>
              </v:textbox>
            </v:shape>
            <v:shape id="_x0000_s1303" type="#_x0000_t202" style="position:absolute;left:5175;top:10381;width:1650;height:440" filled="f" stroked="f">
              <v:textbox style="mso-next-textbox:#_x0000_s1303">
                <w:txbxContent>
                  <w:p w:rsidR="000E2AEC" w:rsidRDefault="000E2AEC" w:rsidP="00A24050">
                    <w:r>
                      <w:t>Oblast 3.2</w:t>
                    </w:r>
                  </w:p>
                </w:txbxContent>
              </v:textbox>
            </v:shape>
            <v:shape id="_x0000_s1304" type="#_x0000_t202" style="position:absolute;left:5175;top:11235;width:1650;height:441" filled="f" stroked="f">
              <v:textbox style="mso-next-textbox:#_x0000_s1304">
                <w:txbxContent>
                  <w:p w:rsidR="000E2AEC" w:rsidRDefault="000E2AEC" w:rsidP="00A24050">
                    <w:r>
                      <w:t>...</w:t>
                    </w:r>
                  </w:p>
                </w:txbxContent>
              </v:textbox>
            </v:shape>
            <v:shape id="_x0000_s1305" type="#_x0000_t202" style="position:absolute;left:5175;top:11920;width:1650;height:440" filled="f" stroked="f">
              <v:textbox style="mso-next-textbox:#_x0000_s1305">
                <w:txbxContent>
                  <w:p w:rsidR="000E2AEC" w:rsidRDefault="000E2AEC" w:rsidP="00A24050">
                    <w:r>
                      <w:t>Oblast 4.1</w:t>
                    </w:r>
                  </w:p>
                </w:txbxContent>
              </v:textbox>
            </v:shape>
            <v:shape id="_x0000_s1306" type="#_x0000_t202" style="position:absolute;left:5250;top:12783;width:1650;height:441" filled="f" stroked="f">
              <v:textbox style="mso-next-textbox:#_x0000_s1306">
                <w:txbxContent>
                  <w:p w:rsidR="000E2AEC" w:rsidRDefault="000E2AEC" w:rsidP="00A24050">
                    <w:r>
                      <w:t>Oblast 4.2</w:t>
                    </w:r>
                  </w:p>
                </w:txbxContent>
              </v:textbox>
            </v:shape>
            <v:shape id="_x0000_s1307" type="#_x0000_t202" style="position:absolute;left:5175;top:13373;width:1650;height:440" filled="f" stroked="f">
              <v:textbox style="mso-next-textbox:#_x0000_s1307">
                <w:txbxContent>
                  <w:p w:rsidR="000E2AEC" w:rsidRDefault="000E2AEC" w:rsidP="00A24050">
                    <w:r>
                      <w:t>…</w:t>
                    </w:r>
                  </w:p>
                </w:txbxContent>
              </v:textbox>
            </v:shape>
            <v:shape id="_x0000_s1308" type="#_x0000_t202" style="position:absolute;left:5100;top:6370;width:1650;height:441" filled="f" stroked="f">
              <v:textbox style="mso-next-textbox:#_x0000_s1308">
                <w:txbxContent>
                  <w:p w:rsidR="000E2AEC" w:rsidRDefault="000E2AEC" w:rsidP="00A24050">
                    <w:r>
                      <w:t>…</w:t>
                    </w:r>
                  </w:p>
                </w:txbxContent>
              </v:textbox>
            </v:shape>
            <v:shape id="_x0000_s1309" type="#_x0000_t202" style="position:absolute;left:5175;top:7360;width:1650;height:440" filled="f" stroked="f">
              <v:textbox style="mso-next-textbox:#_x0000_s1309">
                <w:txbxContent>
                  <w:p w:rsidR="000E2AEC" w:rsidRDefault="000E2AEC" w:rsidP="00A24050">
                    <w:r>
                      <w:t>Oblast 2.1</w:t>
                    </w:r>
                  </w:p>
                </w:txbxContent>
              </v:textbox>
            </v:shape>
            <v:shape id="_x0000_s1310" type="#_x0000_t202" style="position:absolute;left:5175;top:8064;width:1650;height:441" filled="f" stroked="f">
              <v:textbox style="mso-next-textbox:#_x0000_s1310">
                <w:txbxContent>
                  <w:p w:rsidR="000E2AEC" w:rsidRDefault="000E2AEC" w:rsidP="00A24050">
                    <w:r>
                      <w:t>Oblast 2.2</w:t>
                    </w:r>
                  </w:p>
                </w:txbxContent>
              </v:textbox>
            </v:shape>
            <v:shape id="_x0000_s1311" type="#_x0000_t202" style="position:absolute;left:5175;top:8726;width:1650;height:440" filled="f" stroked="f">
              <v:textbox style="mso-next-textbox:#_x0000_s1311">
                <w:txbxContent>
                  <w:p w:rsidR="000E2AEC" w:rsidRDefault="000E2AEC" w:rsidP="00A24050">
                    <w:r>
                      <w:t>…</w:t>
                    </w:r>
                  </w:p>
                </w:txbxContent>
              </v:textbox>
            </v:shape>
            <v:shape id="_x0000_s1312" type="#_x0000_t202" style="position:absolute;left:5175;top:9658;width:1650;height:441" filled="f" stroked="f">
              <v:textbox style="mso-next-textbox:#_x0000_s1312">
                <w:txbxContent>
                  <w:p w:rsidR="000E2AEC" w:rsidRDefault="000E2AEC" w:rsidP="00A24050">
                    <w:r>
                      <w:t>Oblast 3.1</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13" type="#_x0000_t34" style="position:absolute;left:3720;top:5239;width:1286;height:90;flip:y" o:connectortype="elbow" adj="10783,743520,-62482">
              <v:stroke endarrow="block"/>
            </v:shape>
            <v:shape id="_x0000_s1314" type="#_x0000_t34" style="position:absolute;left:3720;top:5329;width:1286;height:660" o:connectortype="elbow" adj="10783,-101389,-62482">
              <v:stroke endarrow="block"/>
            </v:shape>
            <v:shape id="_x0000_s1315" type="#_x0000_t34" style="position:absolute;left:3720;top:5329;width:1291;height:1326" o:connectortype="elbow" adj="10792,-50465,-62240">
              <v:stroke endarrow="block"/>
            </v:shape>
            <v:shape id="_x0000_s1316" type="#_x0000_t34" style="position:absolute;left:3719;top:7646;width:1287;height:150;flip:y" o:connectortype="elbow" adj="10792,801360,-62417">
              <v:stroke endarrow="block"/>
            </v:shape>
            <v:shape id="_x0000_s1317" type="#_x0000_t34" style="position:absolute;left:3719;top:7796;width:1287;height:553" o:connectortype="elbow" adj="10792,-217367,-62417">
              <v:stroke endarrow="block"/>
            </v:shape>
            <v:shape id="_x0000_s1318" type="#_x0000_t34" style="position:absolute;left:3719;top:7796;width:1288;height:1215" o:connectortype="elbow" adj=",-98933,-62368">
              <v:stroke endarrow="block"/>
            </v:shape>
            <v:shape id="_x0000_s1319" type="#_x0000_t34" style="position:absolute;left:3719;top:9814;width:1288;height:290;flip:y" o:connectortype="elbow" adj=",586403,-62368">
              <v:stroke endarrow="block"/>
            </v:shape>
            <v:shape id="_x0000_s1320" type="#_x0000_t34" style="position:absolute;left:3719;top:10104;width:1289;height:432" o:connectortype="elbow" adj="10792,-393650,-62320">
              <v:stroke endarrow="block"/>
            </v:shape>
            <v:shape id="_x0000_s1321" type="#_x0000_t34" style="position:absolute;left:3719;top:10104;width:1292;height:1287" o:connectortype="elbow" adj=",-132134,-62175">
              <v:stroke endarrow="block"/>
            </v:shape>
            <v:shape id="_x0000_s1322" type="#_x0000_t34" style="position:absolute;left:3720;top:12160;width:1290;height:31;flip:y" o:connectortype="elbow" adj="10783,6939871,-62288">
              <v:stroke endarrow="block"/>
            </v:shape>
            <v:shape id="_x0000_s1323" type="#_x0000_t34" style="position:absolute;left:3720;top:12191;width:1290;height:749" o:connectortype="elbow" adj="10783,-287231,-62288">
              <v:stroke endarrow="block"/>
            </v:shape>
            <v:shape id="_x0000_s1324" type="#_x0000_t34" style="position:absolute;left:3720;top:12191;width:1288;height:1468" o:connectortype="elbow" adj="10783,-146550,-62385">
              <v:stroke endarrow="block"/>
            </v:shape>
            <v:shape id="_x0000_s1325" type="#_x0000_t202" style="position:absolute;left:8341;top:4884;width:1207;height:221">
              <v:textbox style="mso-next-textbox:#_x0000_s1325"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r w:rsidRPr="003F26BD">
                      <w:rPr>
                        <w:rFonts w:ascii="Arial Narrow" w:hAnsi="Arial Narrow"/>
                        <w:sz w:val="18"/>
                        <w:szCs w:val="18"/>
                      </w:rPr>
                      <w:t>Indikátor</w:t>
                    </w:r>
                  </w:p>
                  <w:p w:rsidR="000E2AEC" w:rsidRPr="003F26BD" w:rsidRDefault="000E2AEC" w:rsidP="00A24050">
                    <w:pPr>
                      <w:rPr>
                        <w:rFonts w:ascii="Arial Narrow" w:hAnsi="Arial Narrow"/>
                        <w:sz w:val="18"/>
                        <w:szCs w:val="18"/>
                      </w:rPr>
                    </w:pPr>
                  </w:p>
                </w:txbxContent>
              </v:textbox>
            </v:shape>
            <v:shape id="_x0000_s1326" type="#_x0000_t202" style="position:absolute;left:8348;top:11014;width:1207;height:221">
              <v:textbox style="mso-next-textbox:#_x0000_s1326"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r w:rsidRPr="003F26BD">
                      <w:rPr>
                        <w:rFonts w:ascii="Arial Narrow" w:hAnsi="Arial Narrow"/>
                        <w:sz w:val="18"/>
                        <w:szCs w:val="18"/>
                      </w:rPr>
                      <w:t>Indikátor</w:t>
                    </w:r>
                  </w:p>
                  <w:p w:rsidR="000E2AEC" w:rsidRPr="003F26BD" w:rsidRDefault="000E2AEC" w:rsidP="00A24050">
                    <w:pPr>
                      <w:rPr>
                        <w:rFonts w:ascii="Arial Narrow" w:hAnsi="Arial Narrow"/>
                        <w:sz w:val="18"/>
                        <w:szCs w:val="18"/>
                      </w:rPr>
                    </w:pPr>
                  </w:p>
                </w:txbxContent>
              </v:textbox>
            </v:shape>
            <v:shape id="_x0000_s1327" type="#_x0000_t202" style="position:absolute;left:8363;top:11391;width:1207;height:221">
              <v:textbox style="mso-next-textbox:#_x0000_s1327"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p>
                  <w:p w:rsidR="000E2AEC" w:rsidRPr="003F26BD" w:rsidRDefault="000E2AEC" w:rsidP="00A24050">
                    <w:pPr>
                      <w:rPr>
                        <w:rFonts w:ascii="Arial Narrow" w:hAnsi="Arial Narrow"/>
                        <w:sz w:val="18"/>
                        <w:szCs w:val="18"/>
                      </w:rPr>
                    </w:pPr>
                  </w:p>
                </w:txbxContent>
              </v:textbox>
            </v:shape>
            <v:shape id="_x0000_s1328" type="#_x0000_t202" style="position:absolute;left:8348;top:11815;width:1207;height:221">
              <v:textbox style="mso-next-textbox:#_x0000_s1328"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r w:rsidRPr="003F26BD">
                      <w:rPr>
                        <w:rFonts w:ascii="Arial Narrow" w:hAnsi="Arial Narrow"/>
                        <w:sz w:val="18"/>
                        <w:szCs w:val="18"/>
                      </w:rPr>
                      <w:t>Indikátor</w:t>
                    </w:r>
                  </w:p>
                  <w:p w:rsidR="000E2AEC" w:rsidRPr="003F26BD" w:rsidRDefault="000E2AEC" w:rsidP="00A24050">
                    <w:pPr>
                      <w:rPr>
                        <w:rFonts w:ascii="Arial Narrow" w:hAnsi="Arial Narrow"/>
                        <w:sz w:val="18"/>
                        <w:szCs w:val="18"/>
                      </w:rPr>
                    </w:pPr>
                  </w:p>
                </w:txbxContent>
              </v:textbox>
            </v:shape>
            <v:shape id="_x0000_s1329" type="#_x0000_t202" style="position:absolute;left:8348;top:12160;width:1207;height:221">
              <v:textbox style="mso-next-textbox:#_x0000_s1329"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p>
                  <w:p w:rsidR="000E2AEC" w:rsidRPr="003F26BD" w:rsidRDefault="000E2AEC" w:rsidP="00A24050">
                    <w:pPr>
                      <w:rPr>
                        <w:rFonts w:ascii="Arial Narrow" w:hAnsi="Arial Narrow"/>
                        <w:sz w:val="18"/>
                        <w:szCs w:val="18"/>
                      </w:rPr>
                    </w:pPr>
                  </w:p>
                </w:txbxContent>
              </v:textbox>
            </v:shape>
            <v:shape id="_x0000_s1330" type="#_x0000_t202" style="position:absolute;left:8348;top:12655;width:1207;height:221">
              <v:textbox style="mso-next-textbox:#_x0000_s1330"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r w:rsidRPr="003F26BD">
                      <w:rPr>
                        <w:rFonts w:ascii="Arial Narrow" w:hAnsi="Arial Narrow"/>
                        <w:sz w:val="18"/>
                        <w:szCs w:val="18"/>
                      </w:rPr>
                      <w:t>Indikátor</w:t>
                    </w:r>
                  </w:p>
                  <w:p w:rsidR="000E2AEC" w:rsidRPr="003F26BD" w:rsidRDefault="000E2AEC" w:rsidP="00A24050">
                    <w:pPr>
                      <w:rPr>
                        <w:rFonts w:ascii="Arial Narrow" w:hAnsi="Arial Narrow"/>
                        <w:sz w:val="18"/>
                        <w:szCs w:val="18"/>
                      </w:rPr>
                    </w:pPr>
                  </w:p>
                </w:txbxContent>
              </v:textbox>
            </v:shape>
            <v:shape id="_x0000_s1331" type="#_x0000_t202" style="position:absolute;left:8348;top:13003;width:1207;height:221">
              <v:textbox style="mso-next-textbox:#_x0000_s1331"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p>
                  <w:p w:rsidR="000E2AEC" w:rsidRPr="003F26BD" w:rsidRDefault="000E2AEC" w:rsidP="00A24050">
                    <w:pPr>
                      <w:rPr>
                        <w:rFonts w:ascii="Arial Narrow" w:hAnsi="Arial Narrow"/>
                        <w:sz w:val="18"/>
                        <w:szCs w:val="18"/>
                      </w:rPr>
                    </w:pPr>
                  </w:p>
                </w:txbxContent>
              </v:textbox>
            </v:shape>
            <v:shape id="_x0000_s1332" type="#_x0000_t202" style="position:absolute;left:8348;top:13373;width:1207;height:221">
              <v:textbox style="mso-next-textbox:#_x0000_s1332"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r w:rsidRPr="003F26BD">
                      <w:rPr>
                        <w:rFonts w:ascii="Arial Narrow" w:hAnsi="Arial Narrow"/>
                        <w:sz w:val="18"/>
                        <w:szCs w:val="18"/>
                      </w:rPr>
                      <w:t>Indikátor</w:t>
                    </w:r>
                  </w:p>
                  <w:p w:rsidR="000E2AEC" w:rsidRPr="003F26BD" w:rsidRDefault="000E2AEC" w:rsidP="00A24050">
                    <w:pPr>
                      <w:rPr>
                        <w:rFonts w:ascii="Arial Narrow" w:hAnsi="Arial Narrow"/>
                        <w:sz w:val="18"/>
                        <w:szCs w:val="18"/>
                      </w:rPr>
                    </w:pPr>
                  </w:p>
                </w:txbxContent>
              </v:textbox>
            </v:shape>
            <v:shape id="_x0000_s1333" type="#_x0000_t202" style="position:absolute;left:8348;top:13659;width:1207;height:221">
              <v:textbox style="mso-next-textbox:#_x0000_s1333"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p>
                  <w:p w:rsidR="000E2AEC" w:rsidRPr="003F26BD" w:rsidRDefault="000E2AEC" w:rsidP="00A24050">
                    <w:pPr>
                      <w:rPr>
                        <w:rFonts w:ascii="Arial Narrow" w:hAnsi="Arial Narrow"/>
                        <w:sz w:val="18"/>
                        <w:szCs w:val="18"/>
                      </w:rPr>
                    </w:pPr>
                  </w:p>
                </w:txbxContent>
              </v:textbox>
            </v:shape>
            <v:shape id="_x0000_s1334" type="#_x0000_t202" style="position:absolute;left:8348;top:7931;width:1207;height:221">
              <v:textbox style="mso-next-textbox:#_x0000_s1334"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r w:rsidRPr="003F26BD">
                      <w:rPr>
                        <w:rFonts w:ascii="Arial Narrow" w:hAnsi="Arial Narrow"/>
                        <w:sz w:val="18"/>
                        <w:szCs w:val="18"/>
                      </w:rPr>
                      <w:t>Indikátor</w:t>
                    </w:r>
                  </w:p>
                  <w:p w:rsidR="000E2AEC" w:rsidRPr="003F26BD" w:rsidRDefault="000E2AEC" w:rsidP="00A24050">
                    <w:pPr>
                      <w:rPr>
                        <w:rFonts w:ascii="Arial Narrow" w:hAnsi="Arial Narrow"/>
                        <w:sz w:val="18"/>
                        <w:szCs w:val="18"/>
                      </w:rPr>
                    </w:pPr>
                  </w:p>
                </w:txbxContent>
              </v:textbox>
            </v:shape>
            <v:shape id="_x0000_s1335" type="#_x0000_t202" style="position:absolute;left:8348;top:8284;width:1207;height:221">
              <v:textbox style="mso-next-textbox:#_x0000_s1335"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p>
                  <w:p w:rsidR="000E2AEC" w:rsidRPr="003F26BD" w:rsidRDefault="000E2AEC" w:rsidP="00A24050">
                    <w:pPr>
                      <w:rPr>
                        <w:rFonts w:ascii="Arial Narrow" w:hAnsi="Arial Narrow"/>
                        <w:sz w:val="18"/>
                        <w:szCs w:val="18"/>
                      </w:rPr>
                    </w:pPr>
                  </w:p>
                </w:txbxContent>
              </v:textbox>
            </v:shape>
            <v:shape id="_x0000_s1336" type="#_x0000_t202" style="position:absolute;left:8348;top:8634;width:1207;height:221">
              <v:textbox style="mso-next-textbox:#_x0000_s1336"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r w:rsidRPr="003F26BD">
                      <w:rPr>
                        <w:rFonts w:ascii="Arial Narrow" w:hAnsi="Arial Narrow"/>
                        <w:sz w:val="18"/>
                        <w:szCs w:val="18"/>
                      </w:rPr>
                      <w:t>Indikátor</w:t>
                    </w:r>
                  </w:p>
                  <w:p w:rsidR="000E2AEC" w:rsidRPr="003F26BD" w:rsidRDefault="000E2AEC" w:rsidP="00A24050">
                    <w:pPr>
                      <w:rPr>
                        <w:rFonts w:ascii="Arial Narrow" w:hAnsi="Arial Narrow"/>
                        <w:sz w:val="18"/>
                        <w:szCs w:val="18"/>
                      </w:rPr>
                    </w:pPr>
                  </w:p>
                </w:txbxContent>
              </v:textbox>
            </v:shape>
            <v:shape id="_x0000_s1337" type="#_x0000_t202" style="position:absolute;left:8363;top:8945;width:1207;height:221">
              <v:textbox style="mso-next-textbox:#_x0000_s1337"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p>
                  <w:p w:rsidR="000E2AEC" w:rsidRPr="003F26BD" w:rsidRDefault="000E2AEC" w:rsidP="00A24050">
                    <w:pPr>
                      <w:rPr>
                        <w:rFonts w:ascii="Arial Narrow" w:hAnsi="Arial Narrow"/>
                        <w:sz w:val="18"/>
                        <w:szCs w:val="18"/>
                      </w:rPr>
                    </w:pPr>
                  </w:p>
                </w:txbxContent>
              </v:textbox>
            </v:shape>
            <v:shape id="_x0000_s1338" type="#_x0000_t202" style="position:absolute;left:8348;top:9507;width:1207;height:221">
              <v:textbox style="mso-next-textbox:#_x0000_s1338"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r w:rsidRPr="003F26BD">
                      <w:rPr>
                        <w:rFonts w:ascii="Arial Narrow" w:hAnsi="Arial Narrow"/>
                        <w:sz w:val="18"/>
                        <w:szCs w:val="18"/>
                      </w:rPr>
                      <w:t>Indikátor</w:t>
                    </w:r>
                  </w:p>
                  <w:p w:rsidR="000E2AEC" w:rsidRPr="003F26BD" w:rsidRDefault="000E2AEC" w:rsidP="00A24050">
                    <w:pPr>
                      <w:rPr>
                        <w:rFonts w:ascii="Arial Narrow" w:hAnsi="Arial Narrow"/>
                        <w:sz w:val="18"/>
                        <w:szCs w:val="18"/>
                      </w:rPr>
                    </w:pPr>
                  </w:p>
                </w:txbxContent>
              </v:textbox>
            </v:shape>
            <v:shape id="_x0000_s1339" type="#_x0000_t202" style="position:absolute;left:8348;top:9814;width:1207;height:221">
              <v:textbox style="mso-next-textbox:#_x0000_s1339"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p>
                  <w:p w:rsidR="000E2AEC" w:rsidRPr="003F26BD" w:rsidRDefault="000E2AEC" w:rsidP="00A24050">
                    <w:pPr>
                      <w:rPr>
                        <w:rFonts w:ascii="Arial Narrow" w:hAnsi="Arial Narrow"/>
                        <w:sz w:val="18"/>
                        <w:szCs w:val="18"/>
                      </w:rPr>
                    </w:pPr>
                  </w:p>
                </w:txbxContent>
              </v:textbox>
            </v:shape>
            <v:shape id="_x0000_s1340" type="#_x0000_t202" style="position:absolute;left:8348;top:10251;width:1207;height:221">
              <v:textbox style="mso-next-textbox:#_x0000_s1340"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r w:rsidRPr="003F26BD">
                      <w:rPr>
                        <w:rFonts w:ascii="Arial Narrow" w:hAnsi="Arial Narrow"/>
                        <w:sz w:val="18"/>
                        <w:szCs w:val="18"/>
                      </w:rPr>
                      <w:t>Indikátor</w:t>
                    </w:r>
                  </w:p>
                  <w:p w:rsidR="000E2AEC" w:rsidRPr="003F26BD" w:rsidRDefault="000E2AEC" w:rsidP="00A24050">
                    <w:pPr>
                      <w:rPr>
                        <w:rFonts w:ascii="Arial Narrow" w:hAnsi="Arial Narrow"/>
                        <w:sz w:val="18"/>
                        <w:szCs w:val="18"/>
                      </w:rPr>
                    </w:pPr>
                  </w:p>
                </w:txbxContent>
              </v:textbox>
            </v:shape>
            <v:shape id="_x0000_s1341" type="#_x0000_t202" style="position:absolute;left:8348;top:10600;width:1207;height:221">
              <v:textbox style="mso-next-textbox:#_x0000_s1341"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p>
                  <w:p w:rsidR="000E2AEC" w:rsidRPr="003F26BD" w:rsidRDefault="000E2AEC" w:rsidP="00A24050">
                    <w:pPr>
                      <w:rPr>
                        <w:rFonts w:ascii="Arial Narrow" w:hAnsi="Arial Narrow"/>
                        <w:sz w:val="18"/>
                        <w:szCs w:val="18"/>
                      </w:rPr>
                    </w:pPr>
                  </w:p>
                </w:txbxContent>
              </v:textbox>
            </v:shape>
            <v:shape id="_x0000_s1342" type="#_x0000_t202" style="position:absolute;left:8341;top:5239;width:1207;height:221">
              <v:textbox style="mso-next-textbox:#_x0000_s1342"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p>
                  <w:p w:rsidR="000E2AEC" w:rsidRPr="003F26BD" w:rsidRDefault="000E2AEC" w:rsidP="00A24050">
                    <w:pPr>
                      <w:rPr>
                        <w:rFonts w:ascii="Arial Narrow" w:hAnsi="Arial Narrow"/>
                        <w:sz w:val="18"/>
                        <w:szCs w:val="18"/>
                      </w:rPr>
                    </w:pPr>
                  </w:p>
                </w:txbxContent>
              </v:textbox>
            </v:shape>
            <v:shape id="_x0000_s1343" type="#_x0000_t202" style="position:absolute;left:8341;top:5613;width:1207;height:221">
              <v:textbox style="mso-next-textbox:#_x0000_s1343"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r w:rsidRPr="003F26BD">
                      <w:rPr>
                        <w:rFonts w:ascii="Arial Narrow" w:hAnsi="Arial Narrow"/>
                        <w:sz w:val="18"/>
                        <w:szCs w:val="18"/>
                      </w:rPr>
                      <w:t>Indikátor</w:t>
                    </w:r>
                  </w:p>
                  <w:p w:rsidR="000E2AEC" w:rsidRPr="003F26BD" w:rsidRDefault="000E2AEC" w:rsidP="00A24050">
                    <w:pPr>
                      <w:rPr>
                        <w:rFonts w:ascii="Arial Narrow" w:hAnsi="Arial Narrow"/>
                        <w:sz w:val="18"/>
                        <w:szCs w:val="18"/>
                      </w:rPr>
                    </w:pPr>
                  </w:p>
                </w:txbxContent>
              </v:textbox>
            </v:shape>
            <v:shape id="_x0000_s1344" type="#_x0000_t202" style="position:absolute;left:8333;top:5984;width:1207;height:221">
              <v:textbox style="mso-next-textbox:#_x0000_s1344"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p>
                  <w:p w:rsidR="000E2AEC" w:rsidRPr="003F26BD" w:rsidRDefault="000E2AEC" w:rsidP="00A24050">
                    <w:pPr>
                      <w:rPr>
                        <w:rFonts w:ascii="Arial Narrow" w:hAnsi="Arial Narrow"/>
                        <w:sz w:val="18"/>
                        <w:szCs w:val="18"/>
                      </w:rPr>
                    </w:pPr>
                  </w:p>
                </w:txbxContent>
              </v:textbox>
            </v:shape>
            <v:shape id="_x0000_s1345" type="#_x0000_t202" style="position:absolute;left:8341;top:6370;width:1207;height:221">
              <v:textbox style="mso-next-textbox:#_x0000_s1345"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r w:rsidRPr="003F26BD">
                      <w:rPr>
                        <w:rFonts w:ascii="Arial Narrow" w:hAnsi="Arial Narrow"/>
                        <w:sz w:val="18"/>
                        <w:szCs w:val="18"/>
                      </w:rPr>
                      <w:t>Indikátor</w:t>
                    </w:r>
                  </w:p>
                  <w:p w:rsidR="000E2AEC" w:rsidRPr="003F26BD" w:rsidRDefault="000E2AEC" w:rsidP="00A24050">
                    <w:pPr>
                      <w:rPr>
                        <w:rFonts w:ascii="Arial Narrow" w:hAnsi="Arial Narrow"/>
                        <w:sz w:val="18"/>
                        <w:szCs w:val="18"/>
                      </w:rPr>
                    </w:pPr>
                  </w:p>
                </w:txbxContent>
              </v:textbox>
            </v:shape>
            <v:shape id="_x0000_s1346" type="#_x0000_t202" style="position:absolute;left:8341;top:6655;width:1207;height:221">
              <v:textbox style="mso-next-textbox:#_x0000_s1346"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p>
                  <w:p w:rsidR="000E2AEC" w:rsidRPr="003F26BD" w:rsidRDefault="000E2AEC" w:rsidP="00A24050">
                    <w:pPr>
                      <w:rPr>
                        <w:rFonts w:ascii="Arial Narrow" w:hAnsi="Arial Narrow"/>
                        <w:sz w:val="18"/>
                        <w:szCs w:val="18"/>
                      </w:rPr>
                    </w:pPr>
                  </w:p>
                </w:txbxContent>
              </v:textbox>
            </v:shape>
            <v:shape id="_x0000_s1347" type="#_x0000_t202" style="position:absolute;left:8348;top:7199;width:1207;height:221">
              <v:textbox style="mso-next-textbox:#_x0000_s1347"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r w:rsidRPr="003F26BD">
                      <w:rPr>
                        <w:rFonts w:ascii="Arial Narrow" w:hAnsi="Arial Narrow"/>
                        <w:sz w:val="18"/>
                        <w:szCs w:val="18"/>
                      </w:rPr>
                      <w:t>Indikátor</w:t>
                    </w:r>
                  </w:p>
                  <w:p w:rsidR="000E2AEC" w:rsidRPr="003F26BD" w:rsidRDefault="000E2AEC" w:rsidP="00A24050">
                    <w:pPr>
                      <w:rPr>
                        <w:rFonts w:ascii="Arial Narrow" w:hAnsi="Arial Narrow"/>
                        <w:sz w:val="18"/>
                        <w:szCs w:val="18"/>
                      </w:rPr>
                    </w:pPr>
                  </w:p>
                </w:txbxContent>
              </v:textbox>
            </v:shape>
            <v:shape id="_x0000_s1348" type="#_x0000_t202" style="position:absolute;left:8348;top:7575;width:1207;height:221">
              <v:textbox style="mso-next-textbox:#_x0000_s1348" inset="0,0,0,0">
                <w:txbxContent>
                  <w:p w:rsidR="000E2AEC" w:rsidRPr="003F26BD" w:rsidRDefault="000E2AEC" w:rsidP="00A24050">
                    <w:pPr>
                      <w:rPr>
                        <w:rFonts w:ascii="Arial Narrow" w:hAnsi="Arial Narrow"/>
                        <w:sz w:val="18"/>
                        <w:szCs w:val="18"/>
                      </w:rPr>
                    </w:pPr>
                    <w:r>
                      <w:rPr>
                        <w:rFonts w:ascii="Arial Narrow" w:hAnsi="Arial Narrow"/>
                        <w:sz w:val="18"/>
                        <w:szCs w:val="18"/>
                      </w:rPr>
                      <w:t xml:space="preserve">    …</w:t>
                    </w:r>
                  </w:p>
                  <w:p w:rsidR="000E2AEC" w:rsidRPr="003F26BD" w:rsidRDefault="000E2AEC" w:rsidP="00A24050">
                    <w:pPr>
                      <w:rPr>
                        <w:rFonts w:ascii="Arial Narrow" w:hAnsi="Arial Narrow"/>
                        <w:sz w:val="18"/>
                        <w:szCs w:val="18"/>
                      </w:rPr>
                    </w:pPr>
                  </w:p>
                </w:txbxContent>
              </v:textbox>
            </v:shape>
            <v:shape id="_x0000_s1349" type="#_x0000_t34" style="position:absolute;left:7150;top:4995;width:1191;height:244;flip:y" o:connectortype="elbow" adj="10791,266282,-129673">
              <v:stroke endarrow="block"/>
            </v:shape>
            <v:shape id="_x0000_s1350" type="#_x0000_t34" style="position:absolute;left:7150;top:5239;width:1191;height:111" o:connectortype="elbow" adj="10791,-585341,-129673">
              <v:stroke endarrow="block"/>
            </v:shape>
            <v:shape id="_x0000_s1351" type="#_x0000_t34" style="position:absolute;left:7150;top:5724;width:1191;height:265;flip:y" o:connectortype="elbow" adj="10791,306312,-129673">
              <v:stroke endarrow="block"/>
            </v:shape>
            <v:shape id="_x0000_s1352" type="#_x0000_t34" style="position:absolute;left:7150;top:5989;width:1183;height:106" o:connectortype="elbow" adj="10791,-765781,-130549">
              <v:stroke endarrow="block"/>
            </v:shape>
            <v:shape id="_x0000_s1353" type="#_x0000_t34" style="position:absolute;left:7157;top:6481;width:1184;height:174;flip:y" o:connectortype="elbow" adj=",549186,-130567">
              <v:stroke endarrow="block"/>
            </v:shape>
            <v:shape id="_x0000_s1354" type="#_x0000_t34" style="position:absolute;left:7157;top:6655;width:1184;height:111" o:connectortype="elbow" adj=",-860886,-130567">
              <v:stroke endarrow="block"/>
            </v:shape>
            <v:shape id="_x0000_s1355" type="#_x0000_t34" style="position:absolute;left:7152;top:7310;width:1196;height:336;flip:y" o:connectortype="elbow" adj=",348107,-129167">
              <v:stroke endarrow="block"/>
            </v:shape>
            <v:shape id="_x0000_s1356" type="#_x0000_t34" style="position:absolute;left:7152;top:7646;width:1196;height:40" o:connectortype="elbow" adj=",-2924100,-129167">
              <v:stroke endarrow="block"/>
            </v:shape>
            <v:shape id="_x0000_s1357" type="#_x0000_t34" style="position:absolute;left:7152;top:8042;width:1196;height:307;flip:y" o:connectortype="elbow" adj=",430452,-129167">
              <v:stroke endarrow="block"/>
            </v:shape>
            <v:shape id="_x0000_s1358" type="#_x0000_t34" style="position:absolute;left:7152;top:8349;width:1196;height:46" o:connectortype="elbow" adj=",-2872800,-129167">
              <v:stroke endarrow="block"/>
            </v:shape>
            <v:shape id="_x0000_s1359" type="#_x0000_t34" style="position:absolute;left:7152;top:8745;width:1196;height:266;flip:y" o:connectortype="elbow" adj="10782,550556,-129167">
              <v:stroke endarrow="block"/>
            </v:shape>
            <v:shape id="_x0000_s1360" type="#_x0000_t34" style="position:absolute;left:7152;top:9011;width:1211;height:45" o:connectortype="elbow" adj="10791,-3254400,-127567">
              <v:stroke endarrow="block"/>
            </v:shape>
            <v:shape id="_x0000_s1361" type="#_x0000_t34" style="position:absolute;left:7152;top:9618;width:1196;height:196;flip:y" o:connectortype="elbow" adj="10782,835678,-129167">
              <v:stroke endarrow="block"/>
            </v:shape>
            <v:shape id="_x0000_s1362" type="#_x0000_t34" style="position:absolute;left:7152;top:9814;width:1196;height:111" o:connectortype="elbow" adj="10782,-1475611,-129167">
              <v:stroke endarrow="block"/>
            </v:shape>
            <v:shape id="_x0000_s1363" type="#_x0000_t34" style="position:absolute;left:7152;top:10362;width:1196;height:174;flip:y" o:connectortype="elbow" adj=",1030966,-129167">
              <v:stroke endarrow="block"/>
            </v:shape>
            <v:shape id="_x0000_s1364" type="#_x0000_t34" style="position:absolute;left:7152;top:10536;width:1196;height:175" o:connectortype="elbow" adj=",-1025074,-129167">
              <v:stroke endarrow="block"/>
            </v:shape>
            <v:shape id="_x0000_s1365" type="#_x0000_t34" style="position:absolute;left:7155;top:11125;width:1193;height:266;flip:y" o:connectortype="elbow" adj="10791,743820,-129546">
              <v:stroke endarrow="block"/>
            </v:shape>
            <v:shape id="_x0000_s1366" type="#_x0000_t34" style="position:absolute;left:7155;top:11391;width:1208;height:111" o:connectortype="elbow" adj=",-1782486,-127937">
              <v:stroke endarrow="block"/>
            </v:shape>
            <v:shape id="_x0000_s1367" type="#_x0000_t34" style="position:absolute;left:7155;top:11926;width:1193;height:234;flip:y" o:connectortype="elbow" adj="10791,916523,-129546">
              <v:stroke endarrow="block"/>
            </v:shape>
            <v:shape id="_x0000_s1368" type="#_x0000_t34" style="position:absolute;left:7155;top:12160;width:1193;height:111" o:connectortype="elbow" adj="10791,-1932130,-129546">
              <v:stroke endarrow="block"/>
            </v:shape>
            <v:shape id="_x0000_s1369" type="#_x0000_t34" style="position:absolute;left:7152;top:12766;width:1196;height:174;flip:y" o:connectortype="elbow" adj=",1329393,-129167">
              <v:stroke endarrow="block"/>
            </v:shape>
            <v:shape id="_x0000_s1370" type="#_x0000_t34" style="position:absolute;left:7152;top:12940;width:1196;height:174" o:connectortype="elbow" adj=",-1329393,-129167">
              <v:stroke endarrow="block"/>
            </v:shape>
            <v:shape id="_x0000_s1371" type="#_x0000_t34" style="position:absolute;left:7152;top:13484;width:1196;height:175;flip:y" o:connectortype="elbow" adj=",1410542,-129167">
              <v:stroke endarrow="block"/>
            </v:shape>
            <v:shape id="_x0000_s1372" type="#_x0000_t34" style="position:absolute;left:7152;top:13659;width:1196;height:111" o:connectortype="elbow" adj=",-2223827,-129167">
              <v:stroke endarrow="block"/>
            </v:shape>
            <w10:wrap type="none"/>
            <w10:anchorlock/>
          </v:group>
        </w:pict>
      </w:r>
    </w:p>
    <w:p w:rsidR="008961C6" w:rsidRPr="00025B12" w:rsidRDefault="007D6C9D" w:rsidP="0099681A">
      <w:pPr>
        <w:jc w:val="both"/>
        <w:rPr>
          <w:rFonts w:ascii="Verdana" w:hAnsi="Verdana"/>
          <w:noProof/>
          <w:sz w:val="20"/>
          <w:szCs w:val="20"/>
          <w:lang w:eastAsia="cs-CZ"/>
        </w:rPr>
      </w:pPr>
      <w:r w:rsidRPr="00025B12">
        <w:rPr>
          <w:rFonts w:ascii="Verdana" w:hAnsi="Verdana"/>
          <w:noProof/>
          <w:sz w:val="20"/>
          <w:szCs w:val="20"/>
          <w:lang w:eastAsia="cs-CZ"/>
        </w:rPr>
        <w:t xml:space="preserve"> </w:t>
      </w:r>
    </w:p>
    <w:p w:rsidR="008961C6" w:rsidRPr="00025B12" w:rsidRDefault="008961C6" w:rsidP="00087018">
      <w:pPr>
        <w:pStyle w:val="nadkonc3"/>
        <w:numPr>
          <w:ilvl w:val="2"/>
          <w:numId w:val="10"/>
        </w:numPr>
        <w:rPr>
          <w:caps/>
        </w:rPr>
      </w:pPr>
      <w:r w:rsidRPr="00025B12">
        <w:rPr>
          <w:sz w:val="20"/>
          <w:szCs w:val="20"/>
        </w:rPr>
        <w:br w:type="page"/>
      </w:r>
      <w:bookmarkStart w:id="37" w:name="_Toc304898615"/>
      <w:r w:rsidRPr="00025B12">
        <w:rPr>
          <w:caps/>
        </w:rPr>
        <w:lastRenderedPageBreak/>
        <w:t>Mezinárodní srovnání – regiony – vývoj v čase</w:t>
      </w:r>
      <w:bookmarkEnd w:id="37"/>
    </w:p>
    <w:p w:rsidR="006D0AE1" w:rsidRPr="00025B12" w:rsidRDefault="00D931F7" w:rsidP="0099681A">
      <w:pPr>
        <w:jc w:val="both"/>
        <w:rPr>
          <w:rFonts w:ascii="Verdana" w:hAnsi="Verdana"/>
          <w:sz w:val="20"/>
          <w:szCs w:val="20"/>
        </w:rPr>
      </w:pPr>
      <w:r w:rsidRPr="00025B12">
        <w:rPr>
          <w:rFonts w:ascii="Verdana" w:hAnsi="Verdana"/>
          <w:sz w:val="20"/>
          <w:szCs w:val="20"/>
        </w:rPr>
        <w:t>Systém indikátorů by měl v ideálním případě sloužit k mezinárodnímu srovnání, k hodnocení vývoje za celou ČR v čase a k regionálnímu srovnání. V praxi jsou ale pro účely k dispozici jen některé z těchto údajů. Omezit se pouze na indikátory, které pokrývají všechny aspekty</w:t>
      </w:r>
      <w:r w:rsidR="005011DF" w:rsidRPr="00025B12">
        <w:rPr>
          <w:rFonts w:ascii="Verdana" w:hAnsi="Verdana"/>
          <w:sz w:val="20"/>
          <w:szCs w:val="20"/>
        </w:rPr>
        <w:t>,</w:t>
      </w:r>
      <w:r w:rsidRPr="00025B12">
        <w:rPr>
          <w:rFonts w:ascii="Verdana" w:hAnsi="Verdana"/>
          <w:sz w:val="20"/>
          <w:szCs w:val="20"/>
        </w:rPr>
        <w:t xml:space="preserve"> by znamenalo rezignova</w:t>
      </w:r>
      <w:r w:rsidR="000D1F16" w:rsidRPr="00025B12">
        <w:rPr>
          <w:rFonts w:ascii="Verdana" w:hAnsi="Verdana"/>
          <w:sz w:val="20"/>
          <w:szCs w:val="20"/>
        </w:rPr>
        <w:t>t</w:t>
      </w:r>
      <w:r w:rsidRPr="00025B12">
        <w:rPr>
          <w:rFonts w:ascii="Verdana" w:hAnsi="Verdana"/>
          <w:sz w:val="20"/>
          <w:szCs w:val="20"/>
        </w:rPr>
        <w:t xml:space="preserve"> na celou řadu cenných </w:t>
      </w:r>
      <w:r w:rsidR="00130152" w:rsidRPr="00025B12">
        <w:rPr>
          <w:rFonts w:ascii="Verdana" w:hAnsi="Verdana"/>
          <w:sz w:val="20"/>
          <w:szCs w:val="20"/>
        </w:rPr>
        <w:t>informací</w:t>
      </w:r>
      <w:r w:rsidRPr="00025B12">
        <w:rPr>
          <w:rFonts w:ascii="Verdana" w:hAnsi="Verdana"/>
          <w:sz w:val="20"/>
          <w:szCs w:val="20"/>
        </w:rPr>
        <w:t>. Finální systém je tedy diferencovaný – v maximální míře využívá indikátory pokrývající všechny aspekty, ale poskytuje i další informace, které jsou využitelné jen pro určitý segment srovnání (viz obrázek).</w:t>
      </w:r>
    </w:p>
    <w:p w:rsidR="00AC60CA" w:rsidRPr="00025B12" w:rsidRDefault="00AC60CA" w:rsidP="00D931F7">
      <w:pPr>
        <w:contextualSpacing/>
        <w:jc w:val="both"/>
        <w:rPr>
          <w:rFonts w:ascii="Verdana" w:hAnsi="Verdana"/>
          <w:b/>
          <w:i/>
          <w:sz w:val="20"/>
          <w:szCs w:val="20"/>
        </w:rPr>
      </w:pPr>
    </w:p>
    <w:p w:rsidR="00AC60CA" w:rsidRPr="00025B12" w:rsidRDefault="00AC60CA" w:rsidP="00D931F7">
      <w:pPr>
        <w:contextualSpacing/>
        <w:jc w:val="both"/>
        <w:rPr>
          <w:rFonts w:ascii="Verdana" w:hAnsi="Verdana"/>
          <w:b/>
          <w:i/>
          <w:sz w:val="20"/>
          <w:szCs w:val="20"/>
        </w:rPr>
      </w:pPr>
    </w:p>
    <w:p w:rsidR="00AC60CA" w:rsidRPr="00025B12" w:rsidRDefault="00AC60CA" w:rsidP="00D931F7">
      <w:pPr>
        <w:contextualSpacing/>
        <w:jc w:val="both"/>
        <w:rPr>
          <w:rFonts w:ascii="Verdana" w:hAnsi="Verdana"/>
          <w:b/>
          <w:i/>
          <w:sz w:val="20"/>
          <w:szCs w:val="20"/>
        </w:rPr>
      </w:pPr>
    </w:p>
    <w:p w:rsidR="00AC60CA" w:rsidRPr="00025B12" w:rsidRDefault="00AC60CA" w:rsidP="00D931F7">
      <w:pPr>
        <w:contextualSpacing/>
        <w:jc w:val="both"/>
        <w:rPr>
          <w:rFonts w:ascii="Verdana" w:hAnsi="Verdana"/>
          <w:b/>
          <w:i/>
          <w:sz w:val="20"/>
          <w:szCs w:val="20"/>
        </w:rPr>
      </w:pPr>
    </w:p>
    <w:p w:rsidR="00D931F7" w:rsidRPr="00025B12" w:rsidRDefault="00AC60CA" w:rsidP="000C6631">
      <w:pPr>
        <w:contextualSpacing/>
        <w:jc w:val="both"/>
        <w:outlineLvl w:val="0"/>
        <w:rPr>
          <w:rFonts w:ascii="Verdana" w:hAnsi="Verdana"/>
          <w:b/>
          <w:i/>
          <w:sz w:val="20"/>
          <w:szCs w:val="20"/>
        </w:rPr>
      </w:pPr>
      <w:r w:rsidRPr="00025B12">
        <w:rPr>
          <w:rFonts w:ascii="Verdana" w:hAnsi="Verdana"/>
          <w:b/>
          <w:i/>
          <w:sz w:val="20"/>
          <w:szCs w:val="20"/>
        </w:rPr>
        <w:t>Graf</w:t>
      </w:r>
      <w:r w:rsidR="00D931F7" w:rsidRPr="00025B12">
        <w:rPr>
          <w:rFonts w:ascii="Verdana" w:hAnsi="Verdana"/>
          <w:b/>
          <w:i/>
          <w:sz w:val="20"/>
          <w:szCs w:val="20"/>
        </w:rPr>
        <w:t xml:space="preserve"> </w:t>
      </w:r>
      <w:r w:rsidRPr="00025B12">
        <w:rPr>
          <w:rFonts w:ascii="Verdana" w:hAnsi="Verdana"/>
          <w:b/>
          <w:i/>
          <w:sz w:val="20"/>
          <w:szCs w:val="20"/>
        </w:rPr>
        <w:t>5</w:t>
      </w:r>
      <w:r w:rsidR="00D931F7" w:rsidRPr="00025B12">
        <w:rPr>
          <w:rFonts w:ascii="Verdana" w:hAnsi="Verdana"/>
          <w:b/>
          <w:i/>
          <w:sz w:val="20"/>
          <w:szCs w:val="20"/>
        </w:rPr>
        <w:t>: Zaměření indikátorů</w:t>
      </w:r>
    </w:p>
    <w:p w:rsidR="00D931F7" w:rsidRPr="00025B12" w:rsidRDefault="00665F1D" w:rsidP="00D931F7">
      <w:pPr>
        <w:contextualSpacing/>
        <w:jc w:val="both"/>
        <w:rPr>
          <w:rFonts w:ascii="Verdana" w:hAnsi="Verdana"/>
          <w:b/>
          <w:i/>
          <w:sz w:val="20"/>
          <w:szCs w:val="20"/>
        </w:rPr>
      </w:pPr>
      <w:r w:rsidRPr="00665F1D">
        <w:rPr>
          <w:rFonts w:ascii="Verdana" w:hAnsi="Verdana"/>
          <w:sz w:val="20"/>
          <w:szCs w:val="20"/>
        </w:rPr>
      </w:r>
      <w:r w:rsidRPr="00665F1D">
        <w:rPr>
          <w:rFonts w:ascii="Verdana" w:hAnsi="Verdana"/>
          <w:sz w:val="20"/>
          <w:szCs w:val="20"/>
        </w:rPr>
        <w:pict>
          <v:group id="_x0000_s1260" editas="canvas" style="width:498pt;height:288.75pt;mso-position-horizontal-relative:char;mso-position-vertical-relative:line" coordorigin="2362,2377" coordsize="7905,4584">
            <o:lock v:ext="edit" aspectratio="t"/>
            <v:shape id="_x0000_s1261" type="#_x0000_t75" style="position:absolute;left:2362;top:2377;width:7905;height:4584" o:preferrelative="f">
              <v:fill o:detectmouseclick="t"/>
              <v:path o:extrusionok="t" o:connecttype="none"/>
              <o:lock v:ext="edit" text="t"/>
            </v:shape>
            <v:oval id="_x0000_s1262" style="position:absolute;left:3368;top:2766;width:3346;height:2381" fillcolor="#693399">
              <v:fill opacity="6554f"/>
            </v:oval>
            <v:oval id="_x0000_s1263" style="position:absolute;left:5630;top:2766;width:3346;height:2381" fillcolor="#186631">
              <v:fill opacity="6554f"/>
            </v:oval>
            <v:oval id="_x0000_s1264" style="position:absolute;left:4595;top:4341;width:3342;height:2380" fillcolor="#a68048">
              <v:fill opacity="6554f"/>
            </v:oval>
            <v:shape id="_x0000_s1265" type="#_x0000_t202" style="position:absolute;left:3952;top:3302;width:1452;height:631" filled="f" stroked="f" strokecolor="white">
              <v:textbox style="mso-next-textbox:#_x0000_s1265">
                <w:txbxContent>
                  <w:p w:rsidR="000E2AEC" w:rsidRPr="00582DF0" w:rsidRDefault="000E2AEC" w:rsidP="00D27F32">
                    <w:pPr>
                      <w:rPr>
                        <w:rFonts w:ascii="Verdana" w:hAnsi="Verdana"/>
                        <w:b/>
                        <w:sz w:val="20"/>
                        <w:szCs w:val="20"/>
                      </w:rPr>
                    </w:pPr>
                    <w:r w:rsidRPr="00582DF0">
                      <w:rPr>
                        <w:rFonts w:ascii="Verdana" w:hAnsi="Verdana"/>
                        <w:b/>
                        <w:sz w:val="20"/>
                        <w:szCs w:val="20"/>
                      </w:rPr>
                      <w:t>Mezinárodní srovnání</w:t>
                    </w:r>
                  </w:p>
                </w:txbxContent>
              </v:textbox>
            </v:shape>
            <v:shape id="_x0000_s1266" type="#_x0000_t202" style="position:absolute;left:5487;top:5278;width:1454;height:631" filled="f" stroked="f" strokecolor="white">
              <v:textbox style="mso-next-textbox:#_x0000_s1266">
                <w:txbxContent>
                  <w:p w:rsidR="000E2AEC" w:rsidRPr="00582DF0" w:rsidRDefault="000E2AEC" w:rsidP="00D27F32">
                    <w:pPr>
                      <w:rPr>
                        <w:rFonts w:ascii="Verdana" w:hAnsi="Verdana"/>
                        <w:b/>
                        <w:sz w:val="20"/>
                        <w:szCs w:val="20"/>
                      </w:rPr>
                    </w:pPr>
                    <w:r>
                      <w:rPr>
                        <w:rFonts w:ascii="Verdana" w:hAnsi="Verdana"/>
                        <w:b/>
                        <w:sz w:val="20"/>
                        <w:szCs w:val="20"/>
                      </w:rPr>
                      <w:t>Regionální srovnání</w:t>
                    </w:r>
                  </w:p>
                </w:txbxContent>
              </v:textbox>
            </v:shape>
            <v:shape id="_x0000_s1267" type="#_x0000_t202" style="position:absolute;left:7023;top:3361;width:1452;height:631" filled="f" stroked="f" strokecolor="white">
              <v:textbox style="mso-next-textbox:#_x0000_s1267">
                <w:txbxContent>
                  <w:p w:rsidR="000E2AEC" w:rsidRPr="00582DF0" w:rsidRDefault="000E2AEC" w:rsidP="00D27F32">
                    <w:pPr>
                      <w:rPr>
                        <w:rFonts w:ascii="Verdana" w:hAnsi="Verdana"/>
                        <w:b/>
                        <w:sz w:val="20"/>
                        <w:szCs w:val="20"/>
                      </w:rPr>
                    </w:pPr>
                    <w:r>
                      <w:rPr>
                        <w:rFonts w:ascii="Verdana" w:hAnsi="Verdana"/>
                        <w:b/>
                        <w:sz w:val="20"/>
                        <w:szCs w:val="20"/>
                      </w:rPr>
                      <w:t>Vývoj v čase</w:t>
                    </w:r>
                  </w:p>
                </w:txbxContent>
              </v:textbox>
            </v:shape>
            <w10:wrap type="none"/>
            <w10:anchorlock/>
          </v:group>
        </w:pict>
      </w:r>
    </w:p>
    <w:p w:rsidR="00C228A3" w:rsidRPr="00025B12" w:rsidRDefault="00C228A3" w:rsidP="0099681A">
      <w:pPr>
        <w:jc w:val="both"/>
        <w:rPr>
          <w:rFonts w:ascii="Verdana" w:hAnsi="Verdana"/>
          <w:sz w:val="20"/>
          <w:szCs w:val="20"/>
        </w:rPr>
      </w:pPr>
    </w:p>
    <w:p w:rsidR="008961C6" w:rsidRPr="00025B12" w:rsidRDefault="008961C6" w:rsidP="00087018">
      <w:pPr>
        <w:pStyle w:val="nadkonc3"/>
        <w:numPr>
          <w:ilvl w:val="2"/>
          <w:numId w:val="10"/>
        </w:numPr>
        <w:rPr>
          <w:caps/>
        </w:rPr>
      </w:pPr>
      <w:r w:rsidRPr="00025B12">
        <w:rPr>
          <w:sz w:val="20"/>
          <w:szCs w:val="20"/>
        </w:rPr>
        <w:br w:type="page"/>
      </w:r>
      <w:bookmarkStart w:id="38" w:name="_Toc304898616"/>
      <w:r w:rsidRPr="00025B12">
        <w:rPr>
          <w:caps/>
        </w:rPr>
        <w:lastRenderedPageBreak/>
        <w:t>Klíčové a doplňkové indikátory</w:t>
      </w:r>
      <w:bookmarkEnd w:id="38"/>
    </w:p>
    <w:p w:rsidR="00BE0E4D" w:rsidRPr="00025B12" w:rsidRDefault="00C43089" w:rsidP="00D505BD">
      <w:pPr>
        <w:jc w:val="both"/>
        <w:rPr>
          <w:rFonts w:ascii="Verdana" w:hAnsi="Verdana"/>
          <w:sz w:val="20"/>
          <w:szCs w:val="20"/>
        </w:rPr>
      </w:pPr>
      <w:r w:rsidRPr="00025B12">
        <w:rPr>
          <w:rFonts w:ascii="Verdana" w:hAnsi="Verdana"/>
          <w:sz w:val="20"/>
          <w:szCs w:val="20"/>
        </w:rPr>
        <w:t xml:space="preserve">Celkový počet </w:t>
      </w:r>
      <w:r w:rsidR="00BE0E4D" w:rsidRPr="00025B12">
        <w:rPr>
          <w:rFonts w:ascii="Verdana" w:hAnsi="Verdana"/>
          <w:sz w:val="20"/>
          <w:szCs w:val="20"/>
        </w:rPr>
        <w:t xml:space="preserve">indikátorů obsažených v systému je </w:t>
      </w:r>
      <w:r w:rsidR="00632D70" w:rsidRPr="00025B12">
        <w:rPr>
          <w:rFonts w:ascii="Verdana" w:hAnsi="Verdana"/>
          <w:sz w:val="20"/>
          <w:szCs w:val="20"/>
        </w:rPr>
        <w:t>73</w:t>
      </w:r>
      <w:r w:rsidRPr="00025B12">
        <w:rPr>
          <w:rFonts w:ascii="Verdana" w:hAnsi="Verdana"/>
          <w:sz w:val="20"/>
          <w:szCs w:val="20"/>
        </w:rPr>
        <w:t>.</w:t>
      </w:r>
      <w:r w:rsidR="00BE0E4D" w:rsidRPr="00025B12">
        <w:rPr>
          <w:rFonts w:ascii="Verdana" w:hAnsi="Verdana"/>
          <w:sz w:val="20"/>
          <w:szCs w:val="20"/>
        </w:rPr>
        <w:t xml:space="preserve"> </w:t>
      </w:r>
      <w:r w:rsidRPr="00025B12">
        <w:rPr>
          <w:rFonts w:ascii="Verdana" w:hAnsi="Verdana"/>
          <w:sz w:val="20"/>
          <w:szCs w:val="20"/>
        </w:rPr>
        <w:t xml:space="preserve"> </w:t>
      </w:r>
    </w:p>
    <w:p w:rsidR="00BE0E4D" w:rsidRPr="00025B12" w:rsidRDefault="00BE0E4D" w:rsidP="00D505BD">
      <w:pPr>
        <w:jc w:val="both"/>
        <w:rPr>
          <w:rFonts w:ascii="Verdana" w:hAnsi="Verdana"/>
          <w:sz w:val="20"/>
          <w:szCs w:val="20"/>
        </w:rPr>
      </w:pPr>
      <w:r w:rsidRPr="00025B12">
        <w:rPr>
          <w:rFonts w:ascii="Verdana" w:hAnsi="Verdana"/>
          <w:sz w:val="20"/>
          <w:szCs w:val="20"/>
        </w:rPr>
        <w:t>Takovýto systém by byl uživatelsky nepřehledný a velmi náročný na údržbu. Proto byly indikátory rozděleny na klíčové a doplňkové.</w:t>
      </w:r>
    </w:p>
    <w:p w:rsidR="007903EE" w:rsidRPr="00025B12" w:rsidRDefault="007903EE" w:rsidP="00D505BD">
      <w:pPr>
        <w:jc w:val="both"/>
        <w:rPr>
          <w:rFonts w:ascii="Verdana" w:hAnsi="Verdana"/>
          <w:sz w:val="20"/>
          <w:szCs w:val="20"/>
        </w:rPr>
      </w:pPr>
      <w:r w:rsidRPr="00025B12">
        <w:rPr>
          <w:rFonts w:ascii="Verdana" w:hAnsi="Verdana"/>
          <w:b/>
          <w:sz w:val="20"/>
          <w:szCs w:val="20"/>
        </w:rPr>
        <w:t>Klíčové indikátory</w:t>
      </w:r>
      <w:r w:rsidRPr="00025B12">
        <w:rPr>
          <w:rFonts w:ascii="Verdana" w:hAnsi="Verdana"/>
          <w:sz w:val="20"/>
          <w:szCs w:val="20"/>
        </w:rPr>
        <w:t xml:space="preserve"> budou publikovány pravidelně</w:t>
      </w:r>
      <w:r w:rsidR="00DE1EC7" w:rsidRPr="00025B12">
        <w:rPr>
          <w:rFonts w:ascii="Verdana" w:hAnsi="Verdana"/>
          <w:sz w:val="20"/>
          <w:szCs w:val="20"/>
        </w:rPr>
        <w:t xml:space="preserve"> a budou sloužit pro základní v</w:t>
      </w:r>
      <w:r w:rsidRPr="00025B12">
        <w:rPr>
          <w:rFonts w:ascii="Verdana" w:hAnsi="Verdana"/>
          <w:sz w:val="20"/>
          <w:szCs w:val="20"/>
        </w:rPr>
        <w:t xml:space="preserve">hled do situace a sledování vývoje. Systém obsahuje </w:t>
      </w:r>
      <w:r w:rsidR="00632D70" w:rsidRPr="00025B12">
        <w:rPr>
          <w:rFonts w:ascii="Verdana" w:hAnsi="Verdana"/>
          <w:sz w:val="20"/>
          <w:szCs w:val="20"/>
        </w:rPr>
        <w:t>29</w:t>
      </w:r>
      <w:r w:rsidRPr="00025B12">
        <w:rPr>
          <w:rFonts w:ascii="Verdana" w:hAnsi="Verdana"/>
          <w:sz w:val="20"/>
          <w:szCs w:val="20"/>
        </w:rPr>
        <w:t xml:space="preserve"> klíčových indikátorů.</w:t>
      </w:r>
    </w:p>
    <w:p w:rsidR="007903EE" w:rsidRPr="00025B12" w:rsidRDefault="007903EE" w:rsidP="00D505BD">
      <w:pPr>
        <w:jc w:val="both"/>
        <w:rPr>
          <w:rFonts w:ascii="Verdana" w:hAnsi="Verdana"/>
          <w:sz w:val="20"/>
          <w:szCs w:val="20"/>
        </w:rPr>
      </w:pPr>
      <w:r w:rsidRPr="00025B12">
        <w:rPr>
          <w:rFonts w:ascii="Verdana" w:hAnsi="Verdana"/>
          <w:b/>
          <w:sz w:val="20"/>
          <w:szCs w:val="20"/>
        </w:rPr>
        <w:t>Doplňkové indikátory</w:t>
      </w:r>
      <w:r w:rsidRPr="00025B12">
        <w:rPr>
          <w:rFonts w:ascii="Verdana" w:hAnsi="Verdana"/>
          <w:sz w:val="20"/>
          <w:szCs w:val="20"/>
        </w:rPr>
        <w:t xml:space="preserve"> budou tvořit doplňující informace pro specifické účely. V případě nedostatku kapacit na průběžné udržování celého systému, nebudou pravidelně publikovány, ale na základě zpracované metodiky dopočítávány pouze v případě ad-hoc potřeby. Systém obsahuje </w:t>
      </w:r>
      <w:r w:rsidR="003E2FA8" w:rsidRPr="00025B12">
        <w:rPr>
          <w:rFonts w:ascii="Verdana" w:hAnsi="Verdana"/>
          <w:sz w:val="20"/>
          <w:szCs w:val="20"/>
        </w:rPr>
        <w:t>43</w:t>
      </w:r>
      <w:r w:rsidRPr="00025B12">
        <w:rPr>
          <w:rFonts w:ascii="Verdana" w:hAnsi="Verdana"/>
          <w:sz w:val="20"/>
          <w:szCs w:val="20"/>
        </w:rPr>
        <w:t xml:space="preserve"> doplňkových indikátorů</w:t>
      </w:r>
      <w:r w:rsidR="00364832" w:rsidRPr="00025B12">
        <w:rPr>
          <w:rFonts w:ascii="Verdana" w:hAnsi="Verdana"/>
          <w:sz w:val="20"/>
          <w:szCs w:val="20"/>
        </w:rPr>
        <w:t>.</w:t>
      </w:r>
    </w:p>
    <w:p w:rsidR="00364832" w:rsidRPr="00025B12" w:rsidRDefault="00364832" w:rsidP="00D505BD">
      <w:pPr>
        <w:jc w:val="both"/>
        <w:rPr>
          <w:rFonts w:ascii="Verdana" w:hAnsi="Verdana"/>
          <w:sz w:val="20"/>
          <w:szCs w:val="20"/>
        </w:rPr>
      </w:pPr>
      <w:r w:rsidRPr="00025B12">
        <w:rPr>
          <w:rFonts w:ascii="Verdana" w:hAnsi="Verdana"/>
          <w:sz w:val="20"/>
          <w:szCs w:val="20"/>
        </w:rPr>
        <w:t xml:space="preserve">V průběžných </w:t>
      </w:r>
      <w:r w:rsidR="00D505BD" w:rsidRPr="00025B12">
        <w:rPr>
          <w:rFonts w:ascii="Verdana" w:hAnsi="Verdana"/>
          <w:sz w:val="20"/>
          <w:szCs w:val="20"/>
        </w:rPr>
        <w:t>verzích systému byly</w:t>
      </w:r>
      <w:r w:rsidRPr="00025B12">
        <w:rPr>
          <w:rFonts w:ascii="Verdana" w:hAnsi="Verdana"/>
          <w:sz w:val="20"/>
          <w:szCs w:val="20"/>
        </w:rPr>
        <w:t xml:space="preserve"> </w:t>
      </w:r>
      <w:r w:rsidR="00D505BD" w:rsidRPr="00025B12">
        <w:rPr>
          <w:rFonts w:ascii="Verdana" w:hAnsi="Verdana"/>
          <w:sz w:val="20"/>
          <w:szCs w:val="20"/>
        </w:rPr>
        <w:t>zvažovány i další indikátory</w:t>
      </w:r>
      <w:r w:rsidRPr="00025B12">
        <w:rPr>
          <w:rFonts w:ascii="Verdana" w:hAnsi="Verdana"/>
          <w:sz w:val="20"/>
          <w:szCs w:val="20"/>
        </w:rPr>
        <w:t xml:space="preserve">, které byly nakonec vyřazeny. Důvodem pro vyřazení byl vysoký překryv s jiným indikátorem, nízká informační hodnota nebo to, že indikátor nebude v budoucnu dostupný a jeho význam není zásadní. </w:t>
      </w:r>
      <w:r w:rsidR="00DE1EC7" w:rsidRPr="00025B12">
        <w:rPr>
          <w:rFonts w:ascii="Verdana" w:hAnsi="Verdana"/>
          <w:sz w:val="20"/>
          <w:szCs w:val="20"/>
        </w:rPr>
        <w:t xml:space="preserve">Metodika těchto indikátorů je popsána v kapitole 4.3.5 </w:t>
      </w:r>
    </w:p>
    <w:p w:rsidR="007903EE" w:rsidRPr="00025B12" w:rsidRDefault="007903EE" w:rsidP="00D505BD">
      <w:pPr>
        <w:jc w:val="both"/>
        <w:rPr>
          <w:rFonts w:ascii="Verdana" w:hAnsi="Verdana"/>
          <w:sz w:val="20"/>
          <w:szCs w:val="20"/>
        </w:rPr>
      </w:pPr>
      <w:r w:rsidRPr="00025B12">
        <w:rPr>
          <w:rFonts w:ascii="Verdana" w:hAnsi="Verdana"/>
          <w:sz w:val="20"/>
          <w:szCs w:val="20"/>
        </w:rPr>
        <w:t xml:space="preserve">Způsob rozdělení indikátorů na klíčové a doplňkové se opírá o scoring </w:t>
      </w:r>
      <w:r w:rsidR="005011DF" w:rsidRPr="00025B12">
        <w:rPr>
          <w:rFonts w:ascii="Verdana" w:hAnsi="Verdana"/>
          <w:sz w:val="20"/>
          <w:szCs w:val="20"/>
        </w:rPr>
        <w:t>v</w:t>
      </w:r>
      <w:r w:rsidR="00DE1EC7" w:rsidRPr="00025B12">
        <w:rPr>
          <w:rFonts w:ascii="Verdana" w:hAnsi="Verdana"/>
          <w:sz w:val="20"/>
          <w:szCs w:val="20"/>
        </w:rPr>
        <w:t> několika kritériích</w:t>
      </w:r>
      <w:r w:rsidR="00A85234" w:rsidRPr="00025B12">
        <w:rPr>
          <w:rFonts w:ascii="Verdana" w:hAnsi="Verdana"/>
          <w:sz w:val="20"/>
          <w:szCs w:val="20"/>
        </w:rPr>
        <w:t>.</w:t>
      </w:r>
      <w:r w:rsidR="00B06A27" w:rsidRPr="00025B12">
        <w:rPr>
          <w:rFonts w:ascii="Verdana" w:hAnsi="Verdana"/>
          <w:sz w:val="20"/>
          <w:szCs w:val="20"/>
        </w:rPr>
        <w:t xml:space="preserve"> </w:t>
      </w:r>
      <w:r w:rsidR="00DE1EC7" w:rsidRPr="00025B12">
        <w:rPr>
          <w:rFonts w:ascii="Verdana" w:hAnsi="Verdana"/>
          <w:sz w:val="20"/>
          <w:szCs w:val="20"/>
        </w:rPr>
        <w:t xml:space="preserve">Kromě něj však bylo přihlédnuto též ke kvalitativním připomínkám expertů. </w:t>
      </w:r>
    </w:p>
    <w:p w:rsidR="00DE1EC7" w:rsidRPr="00025B12" w:rsidRDefault="00C5637F" w:rsidP="00D505BD">
      <w:pPr>
        <w:jc w:val="both"/>
        <w:rPr>
          <w:rFonts w:ascii="Verdana" w:hAnsi="Verdana"/>
          <w:sz w:val="20"/>
          <w:szCs w:val="20"/>
        </w:rPr>
      </w:pPr>
      <w:r w:rsidRPr="00025B12">
        <w:rPr>
          <w:rFonts w:ascii="Verdana" w:hAnsi="Verdana"/>
          <w:sz w:val="20"/>
          <w:szCs w:val="20"/>
        </w:rPr>
        <w:t>Do scoringu vstupovala následující kritéria. Při výpočtu celkového skóru měla uživatelská významnost váhu 0,5 a každé z dalších kritérii váhy 0,1.</w:t>
      </w:r>
      <w:r w:rsidR="00DE1EC7" w:rsidRPr="00025B12">
        <w:rPr>
          <w:rFonts w:ascii="Verdana" w:hAnsi="Verdana"/>
          <w:sz w:val="20"/>
          <w:szCs w:val="20"/>
        </w:rPr>
        <w:t xml:space="preserve"> </w:t>
      </w:r>
    </w:p>
    <w:p w:rsidR="005011DF" w:rsidRPr="00025B12" w:rsidRDefault="005011DF" w:rsidP="00DE1EC7">
      <w:pPr>
        <w:numPr>
          <w:ilvl w:val="0"/>
          <w:numId w:val="46"/>
        </w:numPr>
        <w:jc w:val="both"/>
        <w:rPr>
          <w:rFonts w:ascii="Verdana" w:hAnsi="Verdana"/>
          <w:b/>
          <w:sz w:val="20"/>
          <w:szCs w:val="20"/>
        </w:rPr>
      </w:pPr>
      <w:r w:rsidRPr="00025B12">
        <w:rPr>
          <w:rFonts w:ascii="Verdana" w:hAnsi="Verdana"/>
          <w:b/>
          <w:sz w:val="20"/>
          <w:szCs w:val="20"/>
        </w:rPr>
        <w:t>Uživatelská významnost (potřeba)</w:t>
      </w:r>
    </w:p>
    <w:p w:rsidR="00C5637F" w:rsidRPr="00025B12" w:rsidRDefault="00C5637F" w:rsidP="00C5637F">
      <w:pPr>
        <w:jc w:val="both"/>
        <w:rPr>
          <w:rFonts w:ascii="Verdana" w:hAnsi="Verdana"/>
          <w:sz w:val="20"/>
          <w:szCs w:val="20"/>
        </w:rPr>
      </w:pPr>
      <w:r w:rsidRPr="00025B12">
        <w:rPr>
          <w:rFonts w:ascii="Verdana" w:hAnsi="Verdana"/>
          <w:sz w:val="20"/>
          <w:szCs w:val="20"/>
        </w:rPr>
        <w:t>Byla sledována uživatelská významnost indikátoru pro následující skupiny uživatelů:</w:t>
      </w:r>
    </w:p>
    <w:p w:rsidR="005011DF" w:rsidRPr="00025B12" w:rsidRDefault="005011DF" w:rsidP="005E2CC2">
      <w:pPr>
        <w:numPr>
          <w:ilvl w:val="1"/>
          <w:numId w:val="20"/>
        </w:numPr>
        <w:spacing w:after="0"/>
        <w:ind w:left="1434" w:hanging="357"/>
        <w:jc w:val="both"/>
        <w:rPr>
          <w:rFonts w:ascii="Verdana" w:hAnsi="Verdana"/>
          <w:sz w:val="20"/>
          <w:szCs w:val="20"/>
        </w:rPr>
      </w:pPr>
      <w:r w:rsidRPr="00025B12">
        <w:rPr>
          <w:rFonts w:ascii="Verdana" w:hAnsi="Verdana"/>
          <w:sz w:val="20"/>
          <w:szCs w:val="20"/>
        </w:rPr>
        <w:t>Školy – dle výsledků ankety</w:t>
      </w:r>
    </w:p>
    <w:p w:rsidR="005011DF" w:rsidRPr="00025B12" w:rsidRDefault="005011DF" w:rsidP="005E2CC2">
      <w:pPr>
        <w:numPr>
          <w:ilvl w:val="1"/>
          <w:numId w:val="20"/>
        </w:numPr>
        <w:spacing w:after="0"/>
        <w:ind w:left="1434" w:hanging="357"/>
        <w:jc w:val="both"/>
        <w:rPr>
          <w:rFonts w:ascii="Verdana" w:hAnsi="Verdana"/>
          <w:sz w:val="20"/>
          <w:szCs w:val="20"/>
        </w:rPr>
      </w:pPr>
      <w:r w:rsidRPr="00025B12">
        <w:rPr>
          <w:rFonts w:ascii="Verdana" w:hAnsi="Verdana"/>
          <w:sz w:val="20"/>
          <w:szCs w:val="20"/>
        </w:rPr>
        <w:t>Soukromé vzdělávací instituce – dle výsledků ankety</w:t>
      </w:r>
    </w:p>
    <w:p w:rsidR="005011DF" w:rsidRPr="00025B12" w:rsidRDefault="00A85234" w:rsidP="00DE1EC7">
      <w:pPr>
        <w:numPr>
          <w:ilvl w:val="1"/>
          <w:numId w:val="20"/>
        </w:numPr>
        <w:spacing w:after="0"/>
        <w:ind w:left="1434" w:hanging="357"/>
        <w:jc w:val="both"/>
        <w:rPr>
          <w:rFonts w:ascii="Verdana" w:hAnsi="Verdana"/>
          <w:sz w:val="20"/>
          <w:szCs w:val="20"/>
        </w:rPr>
      </w:pPr>
      <w:r w:rsidRPr="00025B12">
        <w:rPr>
          <w:rFonts w:ascii="Verdana" w:hAnsi="Verdana"/>
          <w:sz w:val="20"/>
          <w:szCs w:val="20"/>
        </w:rPr>
        <w:t>Regionální uživatelé</w:t>
      </w:r>
      <w:r w:rsidR="00C5637F" w:rsidRPr="00025B12">
        <w:rPr>
          <w:rFonts w:ascii="Verdana" w:hAnsi="Verdana"/>
          <w:sz w:val="20"/>
          <w:szCs w:val="20"/>
        </w:rPr>
        <w:t xml:space="preserve"> – dle výsledků z workshopu</w:t>
      </w:r>
    </w:p>
    <w:p w:rsidR="00A85234" w:rsidRPr="00025B12" w:rsidRDefault="00A85234" w:rsidP="005E2CC2">
      <w:pPr>
        <w:numPr>
          <w:ilvl w:val="1"/>
          <w:numId w:val="20"/>
        </w:numPr>
        <w:jc w:val="both"/>
        <w:rPr>
          <w:rFonts w:ascii="Verdana" w:hAnsi="Verdana"/>
          <w:sz w:val="20"/>
          <w:szCs w:val="20"/>
        </w:rPr>
      </w:pPr>
      <w:r w:rsidRPr="00025B12">
        <w:rPr>
          <w:rFonts w:ascii="Verdana" w:hAnsi="Verdana"/>
          <w:sz w:val="20"/>
          <w:szCs w:val="20"/>
        </w:rPr>
        <w:t>Decizní sféra</w:t>
      </w:r>
      <w:r w:rsidR="00C5637F" w:rsidRPr="00025B12">
        <w:rPr>
          <w:rFonts w:ascii="Verdana" w:hAnsi="Verdana"/>
          <w:sz w:val="20"/>
          <w:szCs w:val="20"/>
        </w:rPr>
        <w:t xml:space="preserve"> a expertní skupina – dle zaslaných připomínek</w:t>
      </w:r>
    </w:p>
    <w:p w:rsidR="005011DF" w:rsidRPr="00025B12" w:rsidRDefault="005011DF" w:rsidP="00C228A3">
      <w:pPr>
        <w:jc w:val="both"/>
        <w:rPr>
          <w:rFonts w:ascii="Verdana" w:hAnsi="Verdana"/>
          <w:sz w:val="20"/>
          <w:szCs w:val="20"/>
        </w:rPr>
      </w:pPr>
      <w:r w:rsidRPr="00025B12">
        <w:rPr>
          <w:rFonts w:ascii="Verdana" w:hAnsi="Verdana"/>
          <w:sz w:val="20"/>
          <w:szCs w:val="20"/>
        </w:rPr>
        <w:t xml:space="preserve">U škol a soukromých vzdělávacích institucí je </w:t>
      </w:r>
      <w:r w:rsidR="00C228A3" w:rsidRPr="00025B12">
        <w:rPr>
          <w:rFonts w:ascii="Verdana" w:hAnsi="Verdana"/>
          <w:sz w:val="20"/>
          <w:szCs w:val="20"/>
        </w:rPr>
        <w:t>potřeba hodnocena podle procenta respondentů, kteří v anketě vyjádřili, že znalost dané informace je pro jejich práci užitečná. Procento těch, kde odpověděli „velmi“ je započítáno jedním bodem, ti, kteří uvedli „středně“ půlbodem. Výsledné číslo je přeškálováno ze stobodové škály na desetibodovou.</w:t>
      </w:r>
    </w:p>
    <w:p w:rsidR="00B5722D" w:rsidRPr="00025B12" w:rsidRDefault="00A85234" w:rsidP="00C228A3">
      <w:pPr>
        <w:jc w:val="both"/>
        <w:rPr>
          <w:rFonts w:ascii="Verdana" w:hAnsi="Verdana"/>
          <w:sz w:val="20"/>
          <w:szCs w:val="20"/>
        </w:rPr>
      </w:pPr>
      <w:r w:rsidRPr="00025B12">
        <w:rPr>
          <w:rFonts w:ascii="Verdana" w:hAnsi="Verdana"/>
          <w:sz w:val="20"/>
          <w:szCs w:val="20"/>
        </w:rPr>
        <w:t>Regionální uživatelé vyjádřili na workshopu potřebu na tří bodové stupnici velmi – středně – vůbec, tato tříbodová stupnice byla ná</w:t>
      </w:r>
      <w:r w:rsidR="00B5722D" w:rsidRPr="00025B12">
        <w:rPr>
          <w:rFonts w:ascii="Verdana" w:hAnsi="Verdana"/>
          <w:sz w:val="20"/>
          <w:szCs w:val="20"/>
        </w:rPr>
        <w:t>sledně přepočtena na desetibodovou, aby byla</w:t>
      </w:r>
      <w:r w:rsidRPr="00025B12">
        <w:rPr>
          <w:rFonts w:ascii="Verdana" w:hAnsi="Verdana"/>
          <w:sz w:val="20"/>
          <w:szCs w:val="20"/>
        </w:rPr>
        <w:t xml:space="preserve"> zajištěna stejná váha názoru.</w:t>
      </w:r>
    </w:p>
    <w:p w:rsidR="00C5637F" w:rsidRPr="00025B12" w:rsidRDefault="00C5637F" w:rsidP="00C5637F">
      <w:pPr>
        <w:jc w:val="both"/>
        <w:rPr>
          <w:rFonts w:ascii="Verdana" w:hAnsi="Verdana"/>
          <w:sz w:val="20"/>
          <w:szCs w:val="20"/>
        </w:rPr>
      </w:pPr>
      <w:r w:rsidRPr="00025B12">
        <w:rPr>
          <w:rFonts w:ascii="Verdana" w:hAnsi="Verdana"/>
          <w:sz w:val="20"/>
          <w:szCs w:val="20"/>
        </w:rPr>
        <w:t>Názory decizní sféry a expertní skupiny byly podle podílu expertů, kteří se vyjádřili pro daný indikátor jako pro klíčový nebo jako pro doplňkový, rovněž přepočteny na desetibodovou stupnici.</w:t>
      </w:r>
    </w:p>
    <w:p w:rsidR="005011DF" w:rsidRPr="00025B12" w:rsidRDefault="00B06A27" w:rsidP="005E2CC2">
      <w:pPr>
        <w:numPr>
          <w:ilvl w:val="0"/>
          <w:numId w:val="20"/>
        </w:numPr>
        <w:jc w:val="both"/>
        <w:rPr>
          <w:rFonts w:ascii="Verdana" w:hAnsi="Verdana"/>
          <w:b/>
          <w:sz w:val="20"/>
          <w:szCs w:val="20"/>
        </w:rPr>
      </w:pPr>
      <w:r w:rsidRPr="00025B12">
        <w:rPr>
          <w:rFonts w:ascii="Verdana" w:hAnsi="Verdana"/>
          <w:b/>
          <w:sz w:val="20"/>
          <w:szCs w:val="20"/>
        </w:rPr>
        <w:t>Jednoduchost výpočtu</w:t>
      </w:r>
    </w:p>
    <w:p w:rsidR="00C53F2F" w:rsidRPr="00025B12" w:rsidRDefault="00B06A27" w:rsidP="00C228A3">
      <w:pPr>
        <w:jc w:val="both"/>
        <w:rPr>
          <w:rFonts w:ascii="Verdana" w:hAnsi="Verdana"/>
          <w:sz w:val="20"/>
          <w:szCs w:val="20"/>
        </w:rPr>
      </w:pPr>
      <w:r w:rsidRPr="00025B12">
        <w:rPr>
          <w:rFonts w:ascii="Verdana" w:hAnsi="Verdana"/>
          <w:sz w:val="20"/>
          <w:szCs w:val="20"/>
        </w:rPr>
        <w:t xml:space="preserve">Jednoduchost výpočtu </w:t>
      </w:r>
      <w:r w:rsidR="00C228A3" w:rsidRPr="00025B12">
        <w:rPr>
          <w:rFonts w:ascii="Verdana" w:hAnsi="Verdana"/>
          <w:sz w:val="20"/>
          <w:szCs w:val="20"/>
        </w:rPr>
        <w:t xml:space="preserve">vyjadřuje, nakolik je pracné získat data pro výpočet indikátoru a samotný výpočet provést. Protože datové zdroje a jejich dostupnost se mohou lišit, je </w:t>
      </w:r>
      <w:r w:rsidR="00C228A3" w:rsidRPr="00025B12">
        <w:rPr>
          <w:rFonts w:ascii="Verdana" w:hAnsi="Verdana"/>
          <w:sz w:val="20"/>
          <w:szCs w:val="20"/>
        </w:rPr>
        <w:lastRenderedPageBreak/>
        <w:t xml:space="preserve">náročnost získání sledována zvlášť pro </w:t>
      </w:r>
      <w:r w:rsidR="00C53F2F" w:rsidRPr="00025B12">
        <w:rPr>
          <w:rFonts w:ascii="Verdana" w:hAnsi="Verdana"/>
          <w:sz w:val="20"/>
          <w:szCs w:val="20"/>
        </w:rPr>
        <w:t xml:space="preserve">mezinárodní, národní a regionální měřítko. </w:t>
      </w:r>
      <w:r w:rsidRPr="00025B12">
        <w:rPr>
          <w:rFonts w:ascii="Verdana" w:hAnsi="Verdana"/>
          <w:sz w:val="20"/>
          <w:szCs w:val="20"/>
        </w:rPr>
        <w:t>Jednoduchost výpočtu</w:t>
      </w:r>
      <w:r w:rsidR="00A85234" w:rsidRPr="00025B12">
        <w:rPr>
          <w:rFonts w:ascii="Verdana" w:hAnsi="Verdana"/>
          <w:sz w:val="20"/>
          <w:szCs w:val="20"/>
        </w:rPr>
        <w:t xml:space="preserve"> je hodnocena na 10</w:t>
      </w:r>
      <w:r w:rsidR="00C53F2F" w:rsidRPr="00025B12">
        <w:rPr>
          <w:rFonts w:ascii="Verdana" w:hAnsi="Verdana"/>
          <w:sz w:val="20"/>
          <w:szCs w:val="20"/>
        </w:rPr>
        <w:t xml:space="preserve"> bodové stupnici:</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79"/>
        <w:gridCol w:w="8557"/>
      </w:tblGrid>
      <w:tr w:rsidR="00C53F2F" w:rsidRPr="00025B12" w:rsidTr="004D32DF">
        <w:trPr>
          <w:trHeight w:val="300"/>
        </w:trPr>
        <w:tc>
          <w:tcPr>
            <w:tcW w:w="879" w:type="dxa"/>
            <w:shd w:val="clear" w:color="auto" w:fill="auto"/>
            <w:noWrap/>
            <w:vAlign w:val="bottom"/>
            <w:hideMark/>
          </w:tcPr>
          <w:p w:rsidR="00C53F2F" w:rsidRPr="00025B12" w:rsidRDefault="004D32DF" w:rsidP="00C53F2F">
            <w:pPr>
              <w:spacing w:after="0" w:line="240" w:lineRule="auto"/>
              <w:jc w:val="right"/>
              <w:rPr>
                <w:rFonts w:eastAsia="Times New Roman"/>
                <w:color w:val="000000"/>
                <w:lang w:eastAsia="cs-CZ"/>
              </w:rPr>
            </w:pPr>
            <w:r w:rsidRPr="00025B12">
              <w:rPr>
                <w:rFonts w:eastAsia="Times New Roman"/>
                <w:color w:val="000000"/>
                <w:lang w:eastAsia="cs-CZ"/>
              </w:rPr>
              <w:t>10</w:t>
            </w:r>
          </w:p>
        </w:tc>
        <w:tc>
          <w:tcPr>
            <w:tcW w:w="8557" w:type="dxa"/>
            <w:shd w:val="clear" w:color="auto" w:fill="auto"/>
            <w:noWrap/>
            <w:vAlign w:val="bottom"/>
            <w:hideMark/>
          </w:tcPr>
          <w:p w:rsidR="00C53F2F" w:rsidRPr="00025B12" w:rsidRDefault="00C53F2F" w:rsidP="00C53F2F">
            <w:pPr>
              <w:spacing w:after="0" w:line="240" w:lineRule="auto"/>
              <w:rPr>
                <w:rFonts w:eastAsia="Times New Roman"/>
                <w:color w:val="000000"/>
                <w:lang w:eastAsia="cs-CZ"/>
              </w:rPr>
            </w:pPr>
            <w:r w:rsidRPr="00025B12">
              <w:rPr>
                <w:rFonts w:eastAsia="Times New Roman"/>
                <w:color w:val="000000"/>
                <w:lang w:eastAsia="cs-CZ"/>
              </w:rPr>
              <w:t>lze beze změny převzít z veřejně publikovaných údajů</w:t>
            </w:r>
          </w:p>
        </w:tc>
      </w:tr>
      <w:tr w:rsidR="00C53F2F" w:rsidRPr="00025B12" w:rsidTr="004D32DF">
        <w:trPr>
          <w:trHeight w:val="300"/>
        </w:trPr>
        <w:tc>
          <w:tcPr>
            <w:tcW w:w="879" w:type="dxa"/>
            <w:shd w:val="clear" w:color="auto" w:fill="auto"/>
            <w:noWrap/>
            <w:vAlign w:val="bottom"/>
            <w:hideMark/>
          </w:tcPr>
          <w:p w:rsidR="00C53F2F" w:rsidRPr="00025B12" w:rsidRDefault="004D32DF" w:rsidP="00C53F2F">
            <w:pPr>
              <w:spacing w:after="0" w:line="240" w:lineRule="auto"/>
              <w:jc w:val="right"/>
              <w:rPr>
                <w:rFonts w:eastAsia="Times New Roman"/>
                <w:color w:val="000000"/>
                <w:lang w:eastAsia="cs-CZ"/>
              </w:rPr>
            </w:pPr>
            <w:r w:rsidRPr="00025B12">
              <w:rPr>
                <w:rFonts w:eastAsia="Times New Roman"/>
                <w:color w:val="000000"/>
                <w:lang w:eastAsia="cs-CZ"/>
              </w:rPr>
              <w:t>9</w:t>
            </w:r>
          </w:p>
        </w:tc>
        <w:tc>
          <w:tcPr>
            <w:tcW w:w="8557" w:type="dxa"/>
            <w:shd w:val="clear" w:color="auto" w:fill="auto"/>
            <w:noWrap/>
            <w:vAlign w:val="bottom"/>
            <w:hideMark/>
          </w:tcPr>
          <w:p w:rsidR="00C53F2F" w:rsidRPr="00025B12" w:rsidRDefault="00C53F2F" w:rsidP="00C53F2F">
            <w:pPr>
              <w:spacing w:after="0" w:line="240" w:lineRule="auto"/>
              <w:rPr>
                <w:rFonts w:eastAsia="Times New Roman"/>
                <w:color w:val="000000"/>
                <w:lang w:eastAsia="cs-CZ"/>
              </w:rPr>
            </w:pPr>
            <w:r w:rsidRPr="00025B12">
              <w:rPr>
                <w:rFonts w:eastAsia="Times New Roman"/>
                <w:color w:val="000000"/>
                <w:lang w:eastAsia="cs-CZ"/>
              </w:rPr>
              <w:t>lze dopočítat jednoduchým výpočtem z veřejně publikovaných údajů</w:t>
            </w:r>
          </w:p>
        </w:tc>
      </w:tr>
      <w:tr w:rsidR="00C53F2F" w:rsidRPr="00025B12" w:rsidTr="004D32DF">
        <w:trPr>
          <w:trHeight w:val="300"/>
        </w:trPr>
        <w:tc>
          <w:tcPr>
            <w:tcW w:w="879" w:type="dxa"/>
            <w:shd w:val="clear" w:color="auto" w:fill="auto"/>
            <w:noWrap/>
            <w:vAlign w:val="bottom"/>
            <w:hideMark/>
          </w:tcPr>
          <w:p w:rsidR="00C53F2F" w:rsidRPr="00025B12" w:rsidRDefault="004D32DF" w:rsidP="00C53F2F">
            <w:pPr>
              <w:spacing w:after="0" w:line="240" w:lineRule="auto"/>
              <w:jc w:val="right"/>
              <w:rPr>
                <w:rFonts w:eastAsia="Times New Roman"/>
                <w:color w:val="000000"/>
                <w:lang w:eastAsia="cs-CZ"/>
              </w:rPr>
            </w:pPr>
            <w:r w:rsidRPr="00025B12">
              <w:rPr>
                <w:rFonts w:eastAsia="Times New Roman"/>
                <w:color w:val="000000"/>
                <w:lang w:eastAsia="cs-CZ"/>
              </w:rPr>
              <w:t>8</w:t>
            </w:r>
          </w:p>
        </w:tc>
        <w:tc>
          <w:tcPr>
            <w:tcW w:w="8557" w:type="dxa"/>
            <w:shd w:val="clear" w:color="auto" w:fill="auto"/>
            <w:noWrap/>
            <w:vAlign w:val="bottom"/>
            <w:hideMark/>
          </w:tcPr>
          <w:p w:rsidR="00C53F2F" w:rsidRPr="00025B12" w:rsidRDefault="00C53F2F" w:rsidP="00C53F2F">
            <w:pPr>
              <w:spacing w:after="0" w:line="240" w:lineRule="auto"/>
              <w:rPr>
                <w:rFonts w:eastAsia="Times New Roman"/>
                <w:color w:val="000000"/>
                <w:lang w:eastAsia="cs-CZ"/>
              </w:rPr>
            </w:pPr>
            <w:r w:rsidRPr="00025B12">
              <w:rPr>
                <w:rFonts w:eastAsia="Times New Roman"/>
                <w:color w:val="000000"/>
                <w:lang w:eastAsia="cs-CZ"/>
              </w:rPr>
              <w:t>vyžaduje jednoduchý výpočet z dat, která nejsou veřejně publikována, ale lze je získat</w:t>
            </w:r>
          </w:p>
        </w:tc>
      </w:tr>
      <w:tr w:rsidR="00C53F2F" w:rsidRPr="00025B12" w:rsidTr="004D32DF">
        <w:trPr>
          <w:trHeight w:val="300"/>
        </w:trPr>
        <w:tc>
          <w:tcPr>
            <w:tcW w:w="879" w:type="dxa"/>
            <w:shd w:val="clear" w:color="auto" w:fill="auto"/>
            <w:noWrap/>
            <w:vAlign w:val="bottom"/>
            <w:hideMark/>
          </w:tcPr>
          <w:p w:rsidR="00C53F2F" w:rsidRPr="00025B12" w:rsidRDefault="004D32DF" w:rsidP="00C53F2F">
            <w:pPr>
              <w:spacing w:after="0" w:line="240" w:lineRule="auto"/>
              <w:jc w:val="right"/>
              <w:rPr>
                <w:rFonts w:eastAsia="Times New Roman"/>
                <w:color w:val="000000"/>
                <w:lang w:eastAsia="cs-CZ"/>
              </w:rPr>
            </w:pPr>
            <w:r w:rsidRPr="00025B12">
              <w:rPr>
                <w:rFonts w:eastAsia="Times New Roman"/>
                <w:color w:val="000000"/>
                <w:lang w:eastAsia="cs-CZ"/>
              </w:rPr>
              <w:t>7</w:t>
            </w:r>
          </w:p>
        </w:tc>
        <w:tc>
          <w:tcPr>
            <w:tcW w:w="8557" w:type="dxa"/>
            <w:shd w:val="clear" w:color="auto" w:fill="auto"/>
            <w:noWrap/>
            <w:vAlign w:val="bottom"/>
            <w:hideMark/>
          </w:tcPr>
          <w:p w:rsidR="00C53F2F" w:rsidRPr="00025B12" w:rsidRDefault="00C53F2F" w:rsidP="00C53F2F">
            <w:pPr>
              <w:spacing w:after="0" w:line="240" w:lineRule="auto"/>
              <w:rPr>
                <w:rFonts w:eastAsia="Times New Roman"/>
                <w:color w:val="000000"/>
                <w:lang w:eastAsia="cs-CZ"/>
              </w:rPr>
            </w:pPr>
            <w:r w:rsidRPr="00025B12">
              <w:rPr>
                <w:rFonts w:eastAsia="Times New Roman"/>
                <w:color w:val="000000"/>
                <w:lang w:eastAsia="cs-CZ"/>
              </w:rPr>
              <w:t>lze dopočítat složitějším výpočtem z veřejně publikovaných údajů</w:t>
            </w:r>
          </w:p>
        </w:tc>
      </w:tr>
      <w:tr w:rsidR="00C53F2F" w:rsidRPr="00025B12" w:rsidTr="004D32DF">
        <w:trPr>
          <w:trHeight w:val="300"/>
        </w:trPr>
        <w:tc>
          <w:tcPr>
            <w:tcW w:w="879" w:type="dxa"/>
            <w:shd w:val="clear" w:color="auto" w:fill="auto"/>
            <w:noWrap/>
            <w:vAlign w:val="bottom"/>
            <w:hideMark/>
          </w:tcPr>
          <w:p w:rsidR="00C53F2F" w:rsidRPr="00025B12" w:rsidRDefault="004D32DF" w:rsidP="00C53F2F">
            <w:pPr>
              <w:spacing w:after="0" w:line="240" w:lineRule="auto"/>
              <w:jc w:val="right"/>
              <w:rPr>
                <w:rFonts w:eastAsia="Times New Roman"/>
                <w:color w:val="000000"/>
                <w:lang w:eastAsia="cs-CZ"/>
              </w:rPr>
            </w:pPr>
            <w:r w:rsidRPr="00025B12">
              <w:rPr>
                <w:rFonts w:eastAsia="Times New Roman"/>
                <w:color w:val="000000"/>
                <w:lang w:eastAsia="cs-CZ"/>
              </w:rPr>
              <w:t>6</w:t>
            </w:r>
          </w:p>
        </w:tc>
        <w:tc>
          <w:tcPr>
            <w:tcW w:w="8557" w:type="dxa"/>
            <w:shd w:val="clear" w:color="auto" w:fill="auto"/>
            <w:noWrap/>
            <w:vAlign w:val="bottom"/>
            <w:hideMark/>
          </w:tcPr>
          <w:p w:rsidR="00C53F2F" w:rsidRPr="00025B12" w:rsidRDefault="00C53F2F" w:rsidP="00C53F2F">
            <w:pPr>
              <w:spacing w:after="0" w:line="240" w:lineRule="auto"/>
              <w:rPr>
                <w:rFonts w:eastAsia="Times New Roman"/>
                <w:color w:val="000000"/>
                <w:lang w:eastAsia="cs-CZ"/>
              </w:rPr>
            </w:pPr>
            <w:r w:rsidRPr="00025B12">
              <w:rPr>
                <w:rFonts w:eastAsia="Times New Roman"/>
                <w:color w:val="000000"/>
                <w:lang w:eastAsia="cs-CZ"/>
              </w:rPr>
              <w:t>vyžaduje složitější výpočet z dat, která nejsou veřejně publikována, ale lze je získat</w:t>
            </w:r>
          </w:p>
        </w:tc>
      </w:tr>
      <w:tr w:rsidR="00C53F2F" w:rsidRPr="00025B12" w:rsidTr="004D32DF">
        <w:trPr>
          <w:trHeight w:val="300"/>
        </w:trPr>
        <w:tc>
          <w:tcPr>
            <w:tcW w:w="879" w:type="dxa"/>
            <w:shd w:val="clear" w:color="auto" w:fill="auto"/>
            <w:noWrap/>
            <w:vAlign w:val="bottom"/>
            <w:hideMark/>
          </w:tcPr>
          <w:p w:rsidR="00C53F2F" w:rsidRPr="00025B12" w:rsidRDefault="004D32DF" w:rsidP="00C53F2F">
            <w:pPr>
              <w:spacing w:after="0" w:line="240" w:lineRule="auto"/>
              <w:jc w:val="right"/>
              <w:rPr>
                <w:rFonts w:eastAsia="Times New Roman"/>
                <w:color w:val="000000"/>
                <w:lang w:eastAsia="cs-CZ"/>
              </w:rPr>
            </w:pPr>
            <w:r w:rsidRPr="00025B12">
              <w:rPr>
                <w:rFonts w:eastAsia="Times New Roman"/>
                <w:color w:val="000000"/>
                <w:lang w:eastAsia="cs-CZ"/>
              </w:rPr>
              <w:t>5</w:t>
            </w:r>
          </w:p>
        </w:tc>
        <w:tc>
          <w:tcPr>
            <w:tcW w:w="8557" w:type="dxa"/>
            <w:shd w:val="clear" w:color="auto" w:fill="auto"/>
            <w:noWrap/>
            <w:vAlign w:val="bottom"/>
            <w:hideMark/>
          </w:tcPr>
          <w:p w:rsidR="00C53F2F" w:rsidRPr="00025B12" w:rsidRDefault="00C53F2F" w:rsidP="00C53F2F">
            <w:pPr>
              <w:spacing w:after="0" w:line="240" w:lineRule="auto"/>
              <w:rPr>
                <w:rFonts w:eastAsia="Times New Roman"/>
                <w:color w:val="000000"/>
                <w:lang w:eastAsia="cs-CZ"/>
              </w:rPr>
            </w:pPr>
            <w:r w:rsidRPr="00025B12">
              <w:rPr>
                <w:rFonts w:eastAsia="Times New Roman"/>
                <w:color w:val="000000"/>
                <w:lang w:eastAsia="cs-CZ"/>
              </w:rPr>
              <w:t>vyžaduje výpočet na základě specifické metodiky z dat, která nejsou veřejně publikována, ale lze je získat</w:t>
            </w:r>
          </w:p>
        </w:tc>
      </w:tr>
      <w:tr w:rsidR="00C53F2F" w:rsidRPr="00025B12" w:rsidTr="004D32DF">
        <w:trPr>
          <w:trHeight w:val="300"/>
        </w:trPr>
        <w:tc>
          <w:tcPr>
            <w:tcW w:w="879" w:type="dxa"/>
            <w:shd w:val="clear" w:color="auto" w:fill="auto"/>
            <w:noWrap/>
            <w:vAlign w:val="bottom"/>
            <w:hideMark/>
          </w:tcPr>
          <w:p w:rsidR="00C53F2F" w:rsidRPr="00025B12" w:rsidRDefault="004D32DF" w:rsidP="00C53F2F">
            <w:pPr>
              <w:spacing w:after="0" w:line="240" w:lineRule="auto"/>
              <w:jc w:val="right"/>
              <w:rPr>
                <w:rFonts w:eastAsia="Times New Roman"/>
                <w:color w:val="000000"/>
                <w:lang w:eastAsia="cs-CZ"/>
              </w:rPr>
            </w:pPr>
            <w:r w:rsidRPr="00025B12">
              <w:rPr>
                <w:rFonts w:eastAsia="Times New Roman"/>
                <w:color w:val="000000"/>
                <w:lang w:eastAsia="cs-CZ"/>
              </w:rPr>
              <w:t>4</w:t>
            </w:r>
          </w:p>
        </w:tc>
        <w:tc>
          <w:tcPr>
            <w:tcW w:w="8557" w:type="dxa"/>
            <w:shd w:val="clear" w:color="auto" w:fill="auto"/>
            <w:noWrap/>
            <w:vAlign w:val="bottom"/>
            <w:hideMark/>
          </w:tcPr>
          <w:p w:rsidR="00C53F2F" w:rsidRPr="00025B12" w:rsidRDefault="00C53F2F" w:rsidP="00C53F2F">
            <w:pPr>
              <w:spacing w:after="0" w:line="240" w:lineRule="auto"/>
              <w:rPr>
                <w:rFonts w:eastAsia="Times New Roman"/>
                <w:color w:val="000000"/>
                <w:lang w:eastAsia="cs-CZ"/>
              </w:rPr>
            </w:pPr>
            <w:r w:rsidRPr="00025B12">
              <w:rPr>
                <w:rFonts w:eastAsia="Times New Roman"/>
                <w:color w:val="000000"/>
                <w:lang w:eastAsia="cs-CZ"/>
              </w:rPr>
              <w:t xml:space="preserve">vyžaduje </w:t>
            </w:r>
            <w:r w:rsidR="004D32DF" w:rsidRPr="00025B12">
              <w:rPr>
                <w:rFonts w:eastAsia="Times New Roman"/>
                <w:color w:val="000000"/>
                <w:lang w:eastAsia="cs-CZ"/>
              </w:rPr>
              <w:t xml:space="preserve">jednoduchý </w:t>
            </w:r>
            <w:r w:rsidRPr="00025B12">
              <w:rPr>
                <w:rFonts w:eastAsia="Times New Roman"/>
                <w:color w:val="000000"/>
                <w:lang w:eastAsia="cs-CZ"/>
              </w:rPr>
              <w:t>výpočet z dat, která existují, ale nejsou k dispozici pro statistické zpracování</w:t>
            </w:r>
          </w:p>
        </w:tc>
      </w:tr>
      <w:tr w:rsidR="004D32DF" w:rsidRPr="00025B12" w:rsidTr="004D32DF">
        <w:trPr>
          <w:trHeight w:val="300"/>
        </w:trPr>
        <w:tc>
          <w:tcPr>
            <w:tcW w:w="879" w:type="dxa"/>
            <w:shd w:val="clear" w:color="auto" w:fill="auto"/>
            <w:noWrap/>
            <w:vAlign w:val="bottom"/>
            <w:hideMark/>
          </w:tcPr>
          <w:p w:rsidR="004D32DF" w:rsidRPr="00025B12" w:rsidRDefault="004D32DF" w:rsidP="00C53F2F">
            <w:pPr>
              <w:spacing w:after="0" w:line="240" w:lineRule="auto"/>
              <w:jc w:val="right"/>
              <w:rPr>
                <w:rFonts w:eastAsia="Times New Roman"/>
                <w:color w:val="000000"/>
                <w:lang w:eastAsia="cs-CZ"/>
              </w:rPr>
            </w:pPr>
            <w:r w:rsidRPr="00025B12">
              <w:rPr>
                <w:rFonts w:eastAsia="Times New Roman"/>
                <w:color w:val="000000"/>
                <w:lang w:eastAsia="cs-CZ"/>
              </w:rPr>
              <w:t>3</w:t>
            </w:r>
          </w:p>
        </w:tc>
        <w:tc>
          <w:tcPr>
            <w:tcW w:w="8557" w:type="dxa"/>
            <w:shd w:val="clear" w:color="auto" w:fill="auto"/>
            <w:noWrap/>
            <w:vAlign w:val="bottom"/>
            <w:hideMark/>
          </w:tcPr>
          <w:p w:rsidR="004D32DF" w:rsidRPr="00025B12" w:rsidRDefault="004D32DF" w:rsidP="004D32DF">
            <w:pPr>
              <w:spacing w:after="0" w:line="240" w:lineRule="auto"/>
              <w:rPr>
                <w:rFonts w:eastAsia="Times New Roman"/>
                <w:color w:val="000000"/>
                <w:lang w:eastAsia="cs-CZ"/>
              </w:rPr>
            </w:pPr>
            <w:r w:rsidRPr="00025B12">
              <w:rPr>
                <w:rFonts w:eastAsia="Times New Roman"/>
                <w:color w:val="000000"/>
                <w:lang w:eastAsia="cs-CZ"/>
              </w:rPr>
              <w:t>vyžaduje složitější výpočet z dat, která existují, ale nejsou k dispozici pro statistické zpracování</w:t>
            </w:r>
          </w:p>
        </w:tc>
      </w:tr>
      <w:tr w:rsidR="004D32DF" w:rsidRPr="00025B12" w:rsidTr="004D32DF">
        <w:trPr>
          <w:trHeight w:val="300"/>
        </w:trPr>
        <w:tc>
          <w:tcPr>
            <w:tcW w:w="879" w:type="dxa"/>
            <w:shd w:val="clear" w:color="auto" w:fill="auto"/>
            <w:noWrap/>
            <w:vAlign w:val="bottom"/>
            <w:hideMark/>
          </w:tcPr>
          <w:p w:rsidR="004D32DF" w:rsidRPr="00025B12" w:rsidRDefault="004D32DF" w:rsidP="00C53F2F">
            <w:pPr>
              <w:spacing w:after="0" w:line="240" w:lineRule="auto"/>
              <w:jc w:val="right"/>
              <w:rPr>
                <w:rFonts w:eastAsia="Times New Roman"/>
                <w:color w:val="000000"/>
                <w:lang w:eastAsia="cs-CZ"/>
              </w:rPr>
            </w:pPr>
            <w:r w:rsidRPr="00025B12">
              <w:rPr>
                <w:rFonts w:eastAsia="Times New Roman"/>
                <w:color w:val="000000"/>
                <w:lang w:eastAsia="cs-CZ"/>
              </w:rPr>
              <w:t>2</w:t>
            </w:r>
          </w:p>
        </w:tc>
        <w:tc>
          <w:tcPr>
            <w:tcW w:w="8557" w:type="dxa"/>
            <w:shd w:val="clear" w:color="auto" w:fill="auto"/>
            <w:noWrap/>
            <w:vAlign w:val="bottom"/>
            <w:hideMark/>
          </w:tcPr>
          <w:p w:rsidR="004D32DF" w:rsidRPr="00025B12" w:rsidRDefault="004D32DF" w:rsidP="00C53F2F">
            <w:pPr>
              <w:spacing w:after="0" w:line="240" w:lineRule="auto"/>
              <w:rPr>
                <w:rFonts w:eastAsia="Times New Roman"/>
                <w:color w:val="000000"/>
                <w:lang w:eastAsia="cs-CZ"/>
              </w:rPr>
            </w:pPr>
            <w:r w:rsidRPr="00025B12">
              <w:rPr>
                <w:rFonts w:eastAsia="Times New Roman"/>
                <w:color w:val="000000"/>
                <w:lang w:eastAsia="cs-CZ"/>
              </w:rPr>
              <w:t>V současné době nelze získat, bude k dispozici až z budoucích (plánovaných) šetření</w:t>
            </w:r>
          </w:p>
        </w:tc>
      </w:tr>
      <w:tr w:rsidR="00C53F2F" w:rsidRPr="00025B12" w:rsidTr="004D32DF">
        <w:trPr>
          <w:trHeight w:val="300"/>
        </w:trPr>
        <w:tc>
          <w:tcPr>
            <w:tcW w:w="879" w:type="dxa"/>
            <w:shd w:val="clear" w:color="auto" w:fill="auto"/>
            <w:noWrap/>
            <w:vAlign w:val="bottom"/>
            <w:hideMark/>
          </w:tcPr>
          <w:p w:rsidR="00C53F2F" w:rsidRPr="00025B12" w:rsidRDefault="004D32DF" w:rsidP="00C53F2F">
            <w:pPr>
              <w:spacing w:after="0" w:line="240" w:lineRule="auto"/>
              <w:jc w:val="right"/>
              <w:rPr>
                <w:rFonts w:eastAsia="Times New Roman"/>
                <w:color w:val="000000"/>
                <w:lang w:eastAsia="cs-CZ"/>
              </w:rPr>
            </w:pPr>
            <w:r w:rsidRPr="00025B12">
              <w:rPr>
                <w:rFonts w:eastAsia="Times New Roman"/>
                <w:color w:val="000000"/>
                <w:lang w:eastAsia="cs-CZ"/>
              </w:rPr>
              <w:t>1</w:t>
            </w:r>
          </w:p>
        </w:tc>
        <w:tc>
          <w:tcPr>
            <w:tcW w:w="8557" w:type="dxa"/>
            <w:shd w:val="clear" w:color="auto" w:fill="auto"/>
            <w:noWrap/>
            <w:vAlign w:val="bottom"/>
            <w:hideMark/>
          </w:tcPr>
          <w:p w:rsidR="00C53F2F" w:rsidRPr="00025B12" w:rsidRDefault="00C53F2F" w:rsidP="00C53F2F">
            <w:pPr>
              <w:spacing w:after="0" w:line="240" w:lineRule="auto"/>
              <w:rPr>
                <w:rFonts w:eastAsia="Times New Roman"/>
                <w:color w:val="000000"/>
                <w:lang w:eastAsia="cs-CZ"/>
              </w:rPr>
            </w:pPr>
            <w:r w:rsidRPr="00025B12">
              <w:rPr>
                <w:rFonts w:eastAsia="Times New Roman"/>
                <w:color w:val="000000"/>
                <w:lang w:eastAsia="cs-CZ"/>
              </w:rPr>
              <w:t>nelze vůbec získat</w:t>
            </w:r>
          </w:p>
        </w:tc>
      </w:tr>
    </w:tbl>
    <w:p w:rsidR="00C53F2F" w:rsidRPr="00025B12" w:rsidRDefault="00C53F2F" w:rsidP="00C228A3">
      <w:pPr>
        <w:jc w:val="both"/>
        <w:rPr>
          <w:rFonts w:ascii="Verdana" w:hAnsi="Verdana"/>
          <w:sz w:val="20"/>
          <w:szCs w:val="20"/>
        </w:rPr>
      </w:pPr>
    </w:p>
    <w:p w:rsidR="00C53F2F" w:rsidRPr="00025B12" w:rsidRDefault="00871670" w:rsidP="005E2CC2">
      <w:pPr>
        <w:numPr>
          <w:ilvl w:val="0"/>
          <w:numId w:val="20"/>
        </w:numPr>
        <w:jc w:val="both"/>
        <w:rPr>
          <w:rFonts w:ascii="Verdana" w:hAnsi="Verdana"/>
          <w:b/>
          <w:sz w:val="20"/>
          <w:szCs w:val="20"/>
        </w:rPr>
      </w:pPr>
      <w:r w:rsidRPr="00025B12">
        <w:rPr>
          <w:rFonts w:ascii="Verdana" w:hAnsi="Verdana"/>
          <w:b/>
          <w:sz w:val="20"/>
          <w:szCs w:val="20"/>
        </w:rPr>
        <w:t>Reliabilita</w:t>
      </w:r>
    </w:p>
    <w:p w:rsidR="00871670" w:rsidRPr="00025B12" w:rsidRDefault="00871670" w:rsidP="00FA115A">
      <w:pPr>
        <w:spacing w:after="0"/>
        <w:jc w:val="both"/>
        <w:rPr>
          <w:rFonts w:ascii="Verdana" w:hAnsi="Verdana"/>
          <w:sz w:val="20"/>
          <w:szCs w:val="20"/>
        </w:rPr>
      </w:pPr>
      <w:r w:rsidRPr="00025B12">
        <w:rPr>
          <w:rFonts w:ascii="Verdana" w:hAnsi="Verdana"/>
          <w:sz w:val="20"/>
          <w:szCs w:val="20"/>
        </w:rPr>
        <w:t xml:space="preserve">Reliabilita neboli spolehlivost </w:t>
      </w:r>
      <w:r w:rsidR="00FA115A" w:rsidRPr="00025B12">
        <w:rPr>
          <w:rFonts w:ascii="Verdana" w:hAnsi="Verdana"/>
          <w:sz w:val="20"/>
          <w:szCs w:val="20"/>
        </w:rPr>
        <w:t>indikátoru je hodnocena z několika pohledů:</w:t>
      </w:r>
    </w:p>
    <w:p w:rsidR="00FA115A" w:rsidRPr="00025B12" w:rsidRDefault="00FA115A" w:rsidP="005E2CC2">
      <w:pPr>
        <w:numPr>
          <w:ilvl w:val="1"/>
          <w:numId w:val="20"/>
        </w:numPr>
        <w:spacing w:after="0"/>
        <w:jc w:val="both"/>
        <w:rPr>
          <w:rFonts w:ascii="Verdana" w:hAnsi="Verdana"/>
          <w:sz w:val="20"/>
          <w:szCs w:val="20"/>
        </w:rPr>
      </w:pPr>
      <w:r w:rsidRPr="00025B12">
        <w:rPr>
          <w:rFonts w:ascii="Verdana" w:hAnsi="Verdana"/>
          <w:sz w:val="20"/>
          <w:szCs w:val="20"/>
        </w:rPr>
        <w:t>Na úrovni mezinárodního srovnání zejména z pohledu jednotnosti metodik zjišťování informací v různých zemích</w:t>
      </w:r>
    </w:p>
    <w:p w:rsidR="00FA115A" w:rsidRPr="00025B12" w:rsidRDefault="00FA115A" w:rsidP="005E2CC2">
      <w:pPr>
        <w:numPr>
          <w:ilvl w:val="1"/>
          <w:numId w:val="20"/>
        </w:numPr>
        <w:spacing w:after="0"/>
        <w:jc w:val="both"/>
        <w:rPr>
          <w:rFonts w:ascii="Verdana" w:hAnsi="Verdana"/>
          <w:sz w:val="20"/>
          <w:szCs w:val="20"/>
        </w:rPr>
      </w:pPr>
      <w:r w:rsidRPr="00025B12">
        <w:rPr>
          <w:rFonts w:ascii="Verdana" w:hAnsi="Verdana"/>
          <w:sz w:val="20"/>
          <w:szCs w:val="20"/>
        </w:rPr>
        <w:t xml:space="preserve">Na úrovni regionálního srovnání zejména s ohledem na spolehlivost třídění </w:t>
      </w:r>
      <w:r w:rsidR="00703B16" w:rsidRPr="00025B12">
        <w:rPr>
          <w:rFonts w:ascii="Verdana" w:hAnsi="Verdana"/>
          <w:sz w:val="20"/>
          <w:szCs w:val="20"/>
        </w:rPr>
        <w:t>při dané</w:t>
      </w:r>
      <w:r w:rsidRPr="00025B12">
        <w:rPr>
          <w:rFonts w:ascii="Verdana" w:hAnsi="Verdana"/>
          <w:sz w:val="20"/>
          <w:szCs w:val="20"/>
        </w:rPr>
        <w:t xml:space="preserve"> velikost</w:t>
      </w:r>
      <w:r w:rsidR="00703B16" w:rsidRPr="00025B12">
        <w:rPr>
          <w:rFonts w:ascii="Verdana" w:hAnsi="Verdana"/>
          <w:sz w:val="20"/>
          <w:szCs w:val="20"/>
        </w:rPr>
        <w:t>i</w:t>
      </w:r>
      <w:r w:rsidRPr="00025B12">
        <w:rPr>
          <w:rFonts w:ascii="Verdana" w:hAnsi="Verdana"/>
          <w:sz w:val="20"/>
          <w:szCs w:val="20"/>
        </w:rPr>
        <w:t xml:space="preserve"> výběrového souboru</w:t>
      </w:r>
    </w:p>
    <w:p w:rsidR="00FA115A" w:rsidRPr="00025B12" w:rsidRDefault="00FA115A" w:rsidP="005E2CC2">
      <w:pPr>
        <w:numPr>
          <w:ilvl w:val="1"/>
          <w:numId w:val="20"/>
        </w:numPr>
        <w:spacing w:after="0"/>
        <w:jc w:val="both"/>
        <w:rPr>
          <w:rFonts w:ascii="Verdana" w:hAnsi="Verdana"/>
          <w:sz w:val="20"/>
          <w:szCs w:val="20"/>
        </w:rPr>
      </w:pPr>
      <w:r w:rsidRPr="00025B12">
        <w:rPr>
          <w:rFonts w:ascii="Verdana" w:hAnsi="Verdana"/>
          <w:sz w:val="20"/>
          <w:szCs w:val="20"/>
        </w:rPr>
        <w:t>Z hlediska konzistence časových řad s ohledem na možnost srovnání v různých letech</w:t>
      </w:r>
      <w:r w:rsidR="00703B16" w:rsidRPr="00025B12">
        <w:rPr>
          <w:rFonts w:ascii="Verdana" w:hAnsi="Verdana"/>
          <w:sz w:val="20"/>
          <w:szCs w:val="20"/>
        </w:rPr>
        <w:t xml:space="preserve"> (metodické změny, vyhlazenost řad)</w:t>
      </w:r>
    </w:p>
    <w:p w:rsidR="00FA115A" w:rsidRPr="00025B12" w:rsidRDefault="00FA115A" w:rsidP="00FA115A">
      <w:pPr>
        <w:spacing w:after="0"/>
        <w:jc w:val="both"/>
        <w:rPr>
          <w:rFonts w:ascii="Verdana" w:hAnsi="Verdana"/>
          <w:sz w:val="20"/>
          <w:szCs w:val="20"/>
        </w:rPr>
      </w:pPr>
      <w:r w:rsidRPr="00025B12">
        <w:rPr>
          <w:rFonts w:ascii="Verdana" w:hAnsi="Verdana"/>
          <w:sz w:val="20"/>
          <w:szCs w:val="20"/>
        </w:rPr>
        <w:t>Ve všech případech je</w:t>
      </w:r>
      <w:r w:rsidR="00703B16" w:rsidRPr="00025B12">
        <w:rPr>
          <w:rFonts w:ascii="Verdana" w:hAnsi="Verdana"/>
          <w:sz w:val="20"/>
          <w:szCs w:val="20"/>
        </w:rPr>
        <w:t xml:space="preserve"> reliabilita</w:t>
      </w:r>
      <w:r w:rsidRPr="00025B12">
        <w:rPr>
          <w:rFonts w:ascii="Verdana" w:hAnsi="Verdana"/>
          <w:sz w:val="20"/>
          <w:szCs w:val="20"/>
        </w:rPr>
        <w:t xml:space="preserve"> vyhodnocena na </w:t>
      </w:r>
      <w:r w:rsidR="004F0933" w:rsidRPr="00025B12">
        <w:rPr>
          <w:rFonts w:ascii="Verdana" w:hAnsi="Verdana"/>
          <w:sz w:val="20"/>
          <w:szCs w:val="20"/>
        </w:rPr>
        <w:t xml:space="preserve">desetistupňová škále, kdy hodnoty 10 dosahují </w:t>
      </w:r>
      <w:r w:rsidR="00FB7964" w:rsidRPr="00025B12">
        <w:rPr>
          <w:rFonts w:ascii="Verdana" w:hAnsi="Verdana"/>
          <w:sz w:val="20"/>
          <w:szCs w:val="20"/>
        </w:rPr>
        <w:t>nejspolehlivější</w:t>
      </w:r>
      <w:r w:rsidR="004F0933" w:rsidRPr="00025B12">
        <w:rPr>
          <w:rFonts w:ascii="Verdana" w:hAnsi="Verdana"/>
          <w:sz w:val="20"/>
          <w:szCs w:val="20"/>
        </w:rPr>
        <w:t xml:space="preserve"> výsledky</w:t>
      </w:r>
      <w:r w:rsidRPr="00025B12">
        <w:rPr>
          <w:rFonts w:ascii="Verdana" w:hAnsi="Verdana"/>
          <w:sz w:val="20"/>
          <w:szCs w:val="20"/>
        </w:rPr>
        <w:t>.</w:t>
      </w:r>
    </w:p>
    <w:p w:rsidR="00FA115A" w:rsidRPr="00025B12" w:rsidRDefault="00FA115A" w:rsidP="00FA115A">
      <w:pPr>
        <w:spacing w:after="0"/>
        <w:jc w:val="both"/>
        <w:rPr>
          <w:rFonts w:ascii="Verdana" w:hAnsi="Verdana"/>
          <w:sz w:val="20"/>
          <w:szCs w:val="20"/>
        </w:rPr>
      </w:pPr>
    </w:p>
    <w:p w:rsidR="00871670" w:rsidRPr="00025B12" w:rsidRDefault="00B50813" w:rsidP="005E2CC2">
      <w:pPr>
        <w:numPr>
          <w:ilvl w:val="0"/>
          <w:numId w:val="20"/>
        </w:numPr>
        <w:jc w:val="both"/>
        <w:rPr>
          <w:rFonts w:ascii="Verdana" w:hAnsi="Verdana"/>
          <w:sz w:val="20"/>
          <w:szCs w:val="20"/>
        </w:rPr>
      </w:pPr>
      <w:r w:rsidRPr="00025B12">
        <w:rPr>
          <w:rFonts w:ascii="Verdana" w:hAnsi="Verdana"/>
          <w:b/>
          <w:sz w:val="20"/>
          <w:szCs w:val="20"/>
        </w:rPr>
        <w:t>Relevance</w:t>
      </w:r>
    </w:p>
    <w:p w:rsidR="00A41E12" w:rsidRPr="00025B12" w:rsidRDefault="00B50813" w:rsidP="00A41E12">
      <w:pPr>
        <w:jc w:val="both"/>
        <w:rPr>
          <w:rFonts w:ascii="Verdana" w:hAnsi="Verdana"/>
          <w:sz w:val="20"/>
          <w:szCs w:val="20"/>
        </w:rPr>
      </w:pPr>
      <w:r w:rsidRPr="00025B12">
        <w:rPr>
          <w:rFonts w:ascii="Verdana" w:hAnsi="Verdana"/>
          <w:sz w:val="20"/>
          <w:szCs w:val="20"/>
        </w:rPr>
        <w:t>Relevance</w:t>
      </w:r>
      <w:r w:rsidR="0098417F" w:rsidRPr="00025B12">
        <w:rPr>
          <w:rFonts w:ascii="Verdana" w:hAnsi="Verdana"/>
          <w:sz w:val="20"/>
          <w:szCs w:val="20"/>
        </w:rPr>
        <w:t xml:space="preserve"> indikátoru by měla popisovat, nakolik daný indikátor skutečně přispívá ke zmapov</w:t>
      </w:r>
      <w:r w:rsidR="002C2815" w:rsidRPr="00025B12">
        <w:rPr>
          <w:rFonts w:ascii="Verdana" w:hAnsi="Verdana"/>
          <w:sz w:val="20"/>
          <w:szCs w:val="20"/>
        </w:rPr>
        <w:t>á</w:t>
      </w:r>
      <w:r w:rsidR="0098417F" w:rsidRPr="00025B12">
        <w:rPr>
          <w:rFonts w:ascii="Verdana" w:hAnsi="Verdana"/>
          <w:sz w:val="20"/>
          <w:szCs w:val="20"/>
        </w:rPr>
        <w:t xml:space="preserve">ní situace ve sledované oblasti. </w:t>
      </w:r>
      <w:r w:rsidRPr="00025B12">
        <w:rPr>
          <w:rFonts w:ascii="Verdana" w:hAnsi="Verdana"/>
          <w:sz w:val="20"/>
          <w:szCs w:val="20"/>
        </w:rPr>
        <w:t>Relevance</w:t>
      </w:r>
      <w:r w:rsidR="003F3EBB" w:rsidRPr="00025B12">
        <w:rPr>
          <w:rFonts w:ascii="Verdana" w:hAnsi="Verdana"/>
          <w:sz w:val="20"/>
          <w:szCs w:val="20"/>
        </w:rPr>
        <w:t xml:space="preserve"> indikátoru </w:t>
      </w:r>
      <w:r w:rsidRPr="00025B12">
        <w:rPr>
          <w:rFonts w:ascii="Verdana" w:hAnsi="Verdana"/>
          <w:sz w:val="20"/>
          <w:szCs w:val="20"/>
        </w:rPr>
        <w:t>je</w:t>
      </w:r>
      <w:r w:rsidR="003F3EBB" w:rsidRPr="00025B12">
        <w:rPr>
          <w:rFonts w:ascii="Verdana" w:hAnsi="Verdana"/>
          <w:sz w:val="20"/>
          <w:szCs w:val="20"/>
        </w:rPr>
        <w:t xml:space="preserve"> vyhodnocena expertním posouzením</w:t>
      </w:r>
      <w:r w:rsidR="002C2815" w:rsidRPr="00025B12">
        <w:rPr>
          <w:rFonts w:ascii="Verdana" w:hAnsi="Verdana"/>
          <w:sz w:val="20"/>
          <w:szCs w:val="20"/>
        </w:rPr>
        <w:t>, na škále 1-10, kde 10 je indikátor, který danou oblast popisuje nejlépe.</w:t>
      </w:r>
    </w:p>
    <w:p w:rsidR="00A41E12" w:rsidRPr="00025B12" w:rsidRDefault="00A41E12" w:rsidP="005E2CC2">
      <w:pPr>
        <w:numPr>
          <w:ilvl w:val="0"/>
          <w:numId w:val="20"/>
        </w:numPr>
        <w:jc w:val="both"/>
        <w:rPr>
          <w:rFonts w:ascii="Verdana" w:hAnsi="Verdana"/>
          <w:sz w:val="20"/>
          <w:szCs w:val="20"/>
        </w:rPr>
      </w:pPr>
      <w:r w:rsidRPr="00025B12">
        <w:rPr>
          <w:rFonts w:ascii="Verdana" w:hAnsi="Verdana"/>
          <w:b/>
          <w:sz w:val="20"/>
          <w:szCs w:val="20"/>
        </w:rPr>
        <w:t>D</w:t>
      </w:r>
      <w:r w:rsidR="006A4343" w:rsidRPr="00025B12">
        <w:rPr>
          <w:rFonts w:ascii="Verdana" w:hAnsi="Verdana"/>
          <w:b/>
          <w:sz w:val="20"/>
          <w:szCs w:val="20"/>
        </w:rPr>
        <w:t>élka časové řady</w:t>
      </w:r>
    </w:p>
    <w:p w:rsidR="002C2815" w:rsidRPr="00025B12" w:rsidRDefault="00A41E12" w:rsidP="00A41E12">
      <w:pPr>
        <w:spacing w:after="0"/>
        <w:jc w:val="both"/>
        <w:rPr>
          <w:rFonts w:ascii="Verdana" w:hAnsi="Verdana"/>
          <w:sz w:val="20"/>
          <w:szCs w:val="20"/>
        </w:rPr>
      </w:pPr>
      <w:r w:rsidRPr="00025B12">
        <w:rPr>
          <w:rFonts w:ascii="Verdana" w:hAnsi="Verdana"/>
          <w:sz w:val="20"/>
          <w:szCs w:val="20"/>
        </w:rPr>
        <w:t>Dlouhodobost indikátoru je hodnocena jednak podle již existující časové řady (je sledováno období, kdy začíná dostupná časová řada).</w:t>
      </w:r>
      <w:r w:rsidR="002C2815" w:rsidRPr="00025B12">
        <w:rPr>
          <w:rFonts w:ascii="Verdana" w:hAnsi="Verdana"/>
          <w:sz w:val="20"/>
          <w:szCs w:val="20"/>
        </w:rPr>
        <w:t xml:space="preserve"> Hodnotu 10 získaly indikátory, které jsou pravidelné a jejichž časová řada začíná v roce 2000 nebo dříve (jako rok počátku je pro jednoduchost </w:t>
      </w:r>
      <w:r w:rsidR="00726E2B" w:rsidRPr="00025B12">
        <w:rPr>
          <w:rFonts w:ascii="Verdana" w:hAnsi="Verdana"/>
          <w:sz w:val="20"/>
          <w:szCs w:val="20"/>
        </w:rPr>
        <w:t xml:space="preserve">někdy </w:t>
      </w:r>
      <w:r w:rsidR="002C2815" w:rsidRPr="00025B12">
        <w:rPr>
          <w:rFonts w:ascii="Verdana" w:hAnsi="Verdana"/>
          <w:sz w:val="20"/>
          <w:szCs w:val="20"/>
        </w:rPr>
        <w:t>uváděno 2000, neboť starší údaje se často objevují pouze v publikacích a je obt</w:t>
      </w:r>
      <w:r w:rsidR="0088721F" w:rsidRPr="00025B12">
        <w:rPr>
          <w:rFonts w:ascii="Verdana" w:hAnsi="Verdana"/>
          <w:sz w:val="20"/>
          <w:szCs w:val="20"/>
        </w:rPr>
        <w:t>í</w:t>
      </w:r>
      <w:r w:rsidR="002C2815" w:rsidRPr="00025B12">
        <w:rPr>
          <w:rFonts w:ascii="Verdana" w:hAnsi="Verdana"/>
          <w:sz w:val="20"/>
          <w:szCs w:val="20"/>
        </w:rPr>
        <w:t xml:space="preserve">žné dohledávat skutečný počátek časové řady pro indikátor). Hodnotu 1 mají indikátory, kde </w:t>
      </w:r>
      <w:r w:rsidR="00F21A60" w:rsidRPr="00025B12">
        <w:rPr>
          <w:rFonts w:ascii="Verdana" w:hAnsi="Verdana"/>
          <w:sz w:val="20"/>
          <w:szCs w:val="20"/>
        </w:rPr>
        <w:t xml:space="preserve">zatím není výsledek k dispozici a bude až </w:t>
      </w:r>
      <w:r w:rsidR="00FE0FC3" w:rsidRPr="00025B12">
        <w:rPr>
          <w:rFonts w:ascii="Verdana" w:hAnsi="Verdana"/>
          <w:sz w:val="20"/>
          <w:szCs w:val="20"/>
        </w:rPr>
        <w:t>v budoucnu</w:t>
      </w:r>
      <w:r w:rsidR="002C2815" w:rsidRPr="00025B12">
        <w:rPr>
          <w:rFonts w:ascii="Verdana" w:hAnsi="Verdana"/>
          <w:sz w:val="20"/>
          <w:szCs w:val="20"/>
        </w:rPr>
        <w:t>.</w:t>
      </w:r>
    </w:p>
    <w:p w:rsidR="002C2815" w:rsidRPr="00025B12" w:rsidRDefault="002C2815" w:rsidP="00A41E12">
      <w:pPr>
        <w:spacing w:after="0"/>
        <w:jc w:val="both"/>
        <w:rPr>
          <w:rFonts w:ascii="Verdana" w:hAnsi="Verdana"/>
          <w:sz w:val="20"/>
          <w:szCs w:val="20"/>
        </w:rPr>
      </w:pPr>
    </w:p>
    <w:p w:rsidR="006A4343" w:rsidRPr="00025B12" w:rsidRDefault="006A4343" w:rsidP="006A4343">
      <w:pPr>
        <w:numPr>
          <w:ilvl w:val="0"/>
          <w:numId w:val="20"/>
        </w:numPr>
        <w:jc w:val="both"/>
        <w:rPr>
          <w:rFonts w:ascii="Verdana" w:hAnsi="Verdana"/>
          <w:b/>
          <w:sz w:val="20"/>
          <w:szCs w:val="20"/>
        </w:rPr>
      </w:pPr>
      <w:r w:rsidRPr="00025B12">
        <w:rPr>
          <w:rFonts w:ascii="Verdana" w:hAnsi="Verdana"/>
          <w:b/>
          <w:sz w:val="20"/>
          <w:szCs w:val="20"/>
        </w:rPr>
        <w:t>Budoucí udržitelnost</w:t>
      </w:r>
    </w:p>
    <w:p w:rsidR="002C2815" w:rsidRPr="00025B12" w:rsidRDefault="002C2815" w:rsidP="00A41E12">
      <w:pPr>
        <w:spacing w:after="0"/>
        <w:jc w:val="both"/>
        <w:rPr>
          <w:rFonts w:ascii="Verdana" w:hAnsi="Verdana"/>
          <w:sz w:val="20"/>
          <w:szCs w:val="20"/>
        </w:rPr>
      </w:pPr>
    </w:p>
    <w:p w:rsidR="00A41E12" w:rsidRPr="00025B12" w:rsidRDefault="00A41E12" w:rsidP="00B50813">
      <w:pPr>
        <w:spacing w:after="0"/>
        <w:jc w:val="both"/>
        <w:rPr>
          <w:rFonts w:ascii="Verdana" w:hAnsi="Verdana"/>
          <w:sz w:val="20"/>
          <w:szCs w:val="20"/>
        </w:rPr>
      </w:pPr>
      <w:r w:rsidRPr="00025B12">
        <w:rPr>
          <w:rFonts w:ascii="Verdana" w:hAnsi="Verdana"/>
          <w:sz w:val="20"/>
          <w:szCs w:val="20"/>
        </w:rPr>
        <w:t xml:space="preserve">Dále je na </w:t>
      </w:r>
      <w:r w:rsidR="00B50813" w:rsidRPr="00025B12">
        <w:rPr>
          <w:rFonts w:ascii="Verdana" w:hAnsi="Verdana"/>
          <w:sz w:val="20"/>
          <w:szCs w:val="20"/>
        </w:rPr>
        <w:t>desetistupňové</w:t>
      </w:r>
      <w:r w:rsidRPr="00025B12">
        <w:rPr>
          <w:rFonts w:ascii="Verdana" w:hAnsi="Verdana"/>
          <w:sz w:val="20"/>
          <w:szCs w:val="20"/>
        </w:rPr>
        <w:t xml:space="preserve"> škále hodnocena dlouhodobá udržitelnost indikátoru v budoucnu.</w:t>
      </w:r>
      <w:r w:rsidR="00B50813" w:rsidRPr="00025B12">
        <w:rPr>
          <w:rFonts w:ascii="Verdana" w:hAnsi="Verdana"/>
          <w:sz w:val="20"/>
          <w:szCs w:val="20"/>
        </w:rPr>
        <w:t xml:space="preserve"> </w:t>
      </w:r>
    </w:p>
    <w:p w:rsidR="00C53F2F" w:rsidRPr="00025B12" w:rsidRDefault="00C53F2F" w:rsidP="00C53F2F">
      <w:pPr>
        <w:jc w:val="both"/>
        <w:rPr>
          <w:rFonts w:ascii="Verdana" w:hAnsi="Verdana"/>
          <w:sz w:val="20"/>
          <w:szCs w:val="20"/>
        </w:rPr>
      </w:pPr>
    </w:p>
    <w:p w:rsidR="004E7C04" w:rsidRPr="00025B12" w:rsidRDefault="004E7C04" w:rsidP="00087018">
      <w:pPr>
        <w:pStyle w:val="nadkonc3"/>
        <w:numPr>
          <w:ilvl w:val="2"/>
          <w:numId w:val="10"/>
        </w:numPr>
        <w:rPr>
          <w:caps/>
        </w:rPr>
      </w:pPr>
      <w:bookmarkStart w:id="39" w:name="_Toc304898617"/>
      <w:r w:rsidRPr="00025B12">
        <w:rPr>
          <w:caps/>
        </w:rPr>
        <w:lastRenderedPageBreak/>
        <w:t>Indikátory pro specifické skupiny</w:t>
      </w:r>
      <w:bookmarkEnd w:id="39"/>
    </w:p>
    <w:p w:rsidR="004E7C04" w:rsidRPr="00025B12" w:rsidRDefault="004E7C04" w:rsidP="00C53F2F">
      <w:pPr>
        <w:jc w:val="both"/>
        <w:rPr>
          <w:rFonts w:ascii="Verdana" w:hAnsi="Verdana"/>
          <w:sz w:val="20"/>
          <w:szCs w:val="20"/>
        </w:rPr>
      </w:pPr>
      <w:r w:rsidRPr="00025B12">
        <w:rPr>
          <w:rFonts w:ascii="Verdana" w:hAnsi="Verdana"/>
          <w:sz w:val="20"/>
          <w:szCs w:val="20"/>
        </w:rPr>
        <w:t xml:space="preserve">Ve většině případů jsou indikátory </w:t>
      </w:r>
      <w:r w:rsidR="006245CA" w:rsidRPr="00025B12">
        <w:rPr>
          <w:rFonts w:ascii="Verdana" w:hAnsi="Verdana"/>
          <w:sz w:val="20"/>
          <w:szCs w:val="20"/>
        </w:rPr>
        <w:t>počítány pro základní populaci, tj. v případě jednotlivců obvykle populace 25-64 let. Během diskuze indikátorů byla identifikována i potřeba, aby výsledky indikátorů byly k dispozici i pro vybrané specifické skupiny. Tam, kde to bylo možné, jsou proto součástí systému i indikátory pro:</w:t>
      </w:r>
    </w:p>
    <w:p w:rsidR="006245CA" w:rsidRPr="00025B12" w:rsidRDefault="006245CA" w:rsidP="00641D19">
      <w:pPr>
        <w:numPr>
          <w:ilvl w:val="0"/>
          <w:numId w:val="30"/>
        </w:numPr>
        <w:jc w:val="both"/>
        <w:rPr>
          <w:rFonts w:ascii="Verdana" w:hAnsi="Verdana"/>
          <w:sz w:val="20"/>
          <w:szCs w:val="20"/>
        </w:rPr>
      </w:pPr>
      <w:r w:rsidRPr="00025B12">
        <w:rPr>
          <w:rFonts w:ascii="Verdana" w:hAnsi="Verdana"/>
          <w:sz w:val="20"/>
          <w:szCs w:val="20"/>
        </w:rPr>
        <w:t>Nezaměstnané</w:t>
      </w:r>
    </w:p>
    <w:p w:rsidR="006245CA" w:rsidRPr="00025B12" w:rsidRDefault="006245CA" w:rsidP="00641D19">
      <w:pPr>
        <w:numPr>
          <w:ilvl w:val="0"/>
          <w:numId w:val="30"/>
        </w:numPr>
        <w:jc w:val="both"/>
        <w:rPr>
          <w:rFonts w:ascii="Verdana" w:hAnsi="Verdana"/>
          <w:sz w:val="20"/>
          <w:szCs w:val="20"/>
        </w:rPr>
      </w:pPr>
      <w:r w:rsidRPr="00025B12">
        <w:rPr>
          <w:rFonts w:ascii="Verdana" w:hAnsi="Verdana"/>
          <w:sz w:val="20"/>
          <w:szCs w:val="20"/>
        </w:rPr>
        <w:t>Lidi s nízkým vzděláním (ISCED 0-2 v případě mezinárodního srovnání a ZŠ nebo SŠ bez maturity v případě údajů za ČR)</w:t>
      </w:r>
    </w:p>
    <w:p w:rsidR="006245CA" w:rsidRPr="00025B12" w:rsidRDefault="006245CA" w:rsidP="00641D19">
      <w:pPr>
        <w:numPr>
          <w:ilvl w:val="0"/>
          <w:numId w:val="30"/>
        </w:numPr>
        <w:jc w:val="both"/>
        <w:rPr>
          <w:rFonts w:ascii="Verdana" w:hAnsi="Verdana"/>
          <w:sz w:val="20"/>
          <w:szCs w:val="20"/>
        </w:rPr>
      </w:pPr>
      <w:r w:rsidRPr="00025B12">
        <w:rPr>
          <w:rFonts w:ascii="Verdana" w:hAnsi="Verdana"/>
          <w:sz w:val="20"/>
          <w:szCs w:val="20"/>
        </w:rPr>
        <w:t>Starší populaci (v závislosti na dostupnosti dat obvykle definována jako populace 55+)</w:t>
      </w:r>
    </w:p>
    <w:p w:rsidR="006245CA" w:rsidRPr="00025B12" w:rsidRDefault="006245CA" w:rsidP="006245CA">
      <w:pPr>
        <w:jc w:val="both"/>
        <w:rPr>
          <w:rFonts w:ascii="Verdana" w:hAnsi="Verdana"/>
          <w:sz w:val="20"/>
          <w:szCs w:val="20"/>
        </w:rPr>
      </w:pPr>
      <w:r w:rsidRPr="00025B12">
        <w:rPr>
          <w:rFonts w:ascii="Verdana" w:hAnsi="Verdana"/>
          <w:sz w:val="20"/>
          <w:szCs w:val="20"/>
        </w:rPr>
        <w:t>Údaje pro tyto skupiny jsou uváděny jednak v jednotkách indikátoru samotného a dále pak v relacích k celku populace.</w:t>
      </w:r>
    </w:p>
    <w:p w:rsidR="003D2209" w:rsidRPr="00025B12" w:rsidRDefault="003D2209" w:rsidP="00C53F2F">
      <w:pPr>
        <w:jc w:val="both"/>
        <w:rPr>
          <w:rFonts w:ascii="Verdana" w:hAnsi="Verdana"/>
          <w:sz w:val="20"/>
          <w:szCs w:val="20"/>
        </w:rPr>
      </w:pPr>
    </w:p>
    <w:p w:rsidR="003D2209" w:rsidRPr="00025B12" w:rsidRDefault="003D2209" w:rsidP="00C53F2F">
      <w:pPr>
        <w:jc w:val="both"/>
        <w:rPr>
          <w:rFonts w:ascii="Verdana" w:hAnsi="Verdana"/>
          <w:sz w:val="20"/>
          <w:szCs w:val="20"/>
        </w:rPr>
      </w:pPr>
    </w:p>
    <w:p w:rsidR="00397185" w:rsidRPr="00025B12" w:rsidRDefault="00D44D38" w:rsidP="00397185">
      <w:pPr>
        <w:pStyle w:val="Nadpiskonc2"/>
        <w:numPr>
          <w:ilvl w:val="1"/>
          <w:numId w:val="10"/>
        </w:numPr>
        <w:rPr>
          <w:rFonts w:ascii="Verdana" w:hAnsi="Verdana"/>
          <w:caps/>
        </w:rPr>
      </w:pPr>
      <w:r w:rsidRPr="00025B12">
        <w:rPr>
          <w:rFonts w:ascii="Verdana" w:hAnsi="Verdana"/>
          <w:caps/>
        </w:rPr>
        <w:br w:type="page"/>
      </w:r>
      <w:bookmarkStart w:id="40" w:name="_Toc304898618"/>
      <w:r w:rsidR="003D2209" w:rsidRPr="00025B12">
        <w:rPr>
          <w:rFonts w:ascii="Verdana" w:hAnsi="Verdana"/>
          <w:caps/>
        </w:rPr>
        <w:lastRenderedPageBreak/>
        <w:t>přehled indikátorů</w:t>
      </w:r>
      <w:bookmarkEnd w:id="40"/>
    </w:p>
    <w:p w:rsidR="00397185" w:rsidRPr="00025B12" w:rsidRDefault="00397185" w:rsidP="00397185">
      <w:pPr>
        <w:jc w:val="both"/>
        <w:rPr>
          <w:rFonts w:ascii="Verdana" w:hAnsi="Verdana"/>
          <w:sz w:val="20"/>
          <w:szCs w:val="20"/>
        </w:rPr>
      </w:pPr>
      <w:r w:rsidRPr="00025B12">
        <w:rPr>
          <w:rFonts w:ascii="Verdana" w:hAnsi="Verdana"/>
          <w:sz w:val="20"/>
          <w:szCs w:val="20"/>
        </w:rPr>
        <w:t>Přehled indikátorů lze nalézt v přehledné podobě také v </w:t>
      </w:r>
      <w:r w:rsidR="0052403F" w:rsidRPr="00025B12">
        <w:rPr>
          <w:rFonts w:ascii="Verdana" w:hAnsi="Verdana"/>
          <w:sz w:val="20"/>
          <w:szCs w:val="20"/>
        </w:rPr>
        <w:t>Příloze 3</w:t>
      </w:r>
      <w:r w:rsidRPr="00025B12">
        <w:rPr>
          <w:rFonts w:ascii="Verdana" w:hAnsi="Verdana"/>
          <w:sz w:val="20"/>
          <w:szCs w:val="20"/>
        </w:rPr>
        <w:t>.</w:t>
      </w:r>
    </w:p>
    <w:tbl>
      <w:tblPr>
        <w:tblStyle w:val="Mkatabulky"/>
        <w:tblW w:w="0" w:type="auto"/>
        <w:tblLook w:val="04A0"/>
      </w:tblPr>
      <w:tblGrid>
        <w:gridCol w:w="4606"/>
        <w:gridCol w:w="4606"/>
      </w:tblGrid>
      <w:tr w:rsidR="00D131AA" w:rsidRPr="00025B12" w:rsidTr="007C36F7">
        <w:trPr>
          <w:trHeight w:val="249"/>
        </w:trPr>
        <w:tc>
          <w:tcPr>
            <w:tcW w:w="4606" w:type="dxa"/>
            <w:noWrap/>
            <w:vAlign w:val="center"/>
            <w:hideMark/>
          </w:tcPr>
          <w:p w:rsidR="00D131AA" w:rsidRPr="00025B12" w:rsidRDefault="00D131AA" w:rsidP="007C36F7">
            <w:pPr>
              <w:spacing w:after="0" w:line="240" w:lineRule="auto"/>
              <w:rPr>
                <w:rFonts w:ascii="Verdana" w:eastAsia="Times New Roman" w:hAnsi="Verdana"/>
                <w:bCs/>
                <w:color w:val="000000"/>
                <w:sz w:val="20"/>
                <w:szCs w:val="20"/>
                <w:lang w:eastAsia="cs-CZ"/>
              </w:rPr>
            </w:pPr>
            <w:r w:rsidRPr="00025B12">
              <w:rPr>
                <w:rFonts w:ascii="Verdana" w:eastAsia="Times New Roman" w:hAnsi="Verdana"/>
                <w:bCs/>
                <w:color w:val="000000"/>
                <w:sz w:val="20"/>
                <w:szCs w:val="20"/>
                <w:lang w:eastAsia="cs-CZ"/>
              </w:rPr>
              <w:t>Klíčové</w:t>
            </w:r>
          </w:p>
        </w:tc>
        <w:tc>
          <w:tcPr>
            <w:tcW w:w="4606" w:type="dxa"/>
            <w:vAlign w:val="center"/>
          </w:tcPr>
          <w:p w:rsidR="00D131AA" w:rsidRPr="00025B12" w:rsidRDefault="00D131AA" w:rsidP="007C36F7">
            <w:pPr>
              <w:spacing w:after="0" w:line="240" w:lineRule="auto"/>
              <w:rPr>
                <w:rFonts w:ascii="Verdana" w:eastAsia="Times New Roman" w:hAnsi="Verdana"/>
                <w:bCs/>
                <w:color w:val="000000"/>
                <w:sz w:val="20"/>
                <w:szCs w:val="20"/>
                <w:lang w:eastAsia="cs-CZ"/>
              </w:rPr>
            </w:pPr>
            <w:r w:rsidRPr="00025B12">
              <w:rPr>
                <w:rFonts w:ascii="Verdana" w:eastAsia="Times New Roman" w:hAnsi="Verdana"/>
                <w:bCs/>
                <w:color w:val="000000"/>
                <w:sz w:val="20"/>
                <w:szCs w:val="20"/>
                <w:lang w:eastAsia="cs-CZ"/>
              </w:rPr>
              <w:t>Doplňkové</w:t>
            </w:r>
          </w:p>
        </w:tc>
      </w:tr>
      <w:tr w:rsidR="00D44D38" w:rsidRPr="00025B12" w:rsidTr="007C36F7">
        <w:trPr>
          <w:trHeight w:val="20"/>
        </w:trPr>
        <w:tc>
          <w:tcPr>
            <w:tcW w:w="9212" w:type="dxa"/>
            <w:gridSpan w:val="2"/>
            <w:shd w:val="clear" w:color="auto" w:fill="663399"/>
            <w:vAlign w:val="center"/>
          </w:tcPr>
          <w:p w:rsidR="00D44D38" w:rsidRPr="00025B12" w:rsidRDefault="0042322A" w:rsidP="007C36F7">
            <w:pPr>
              <w:spacing w:after="0" w:line="240" w:lineRule="auto"/>
              <w:rPr>
                <w:rFonts w:ascii="Verdana" w:hAnsi="Verdana"/>
                <w:sz w:val="20"/>
                <w:szCs w:val="20"/>
              </w:rPr>
            </w:pPr>
            <w:r w:rsidRPr="00025B12">
              <w:rPr>
                <w:rFonts w:ascii="Verdana" w:hAnsi="Verdana"/>
                <w:b/>
                <w:color w:val="FFFFFF" w:themeColor="background1"/>
                <w:sz w:val="24"/>
                <w:szCs w:val="24"/>
              </w:rPr>
              <w:t xml:space="preserve">I. </w:t>
            </w:r>
            <w:r w:rsidR="00D44D38" w:rsidRPr="00025B12">
              <w:rPr>
                <w:rFonts w:ascii="Verdana" w:hAnsi="Verdana"/>
                <w:b/>
                <w:color w:val="FFFFFF" w:themeColor="background1"/>
                <w:sz w:val="24"/>
                <w:szCs w:val="24"/>
              </w:rPr>
              <w:t>Kontext</w:t>
            </w:r>
          </w:p>
        </w:tc>
      </w:tr>
      <w:tr w:rsidR="00ED2CE5" w:rsidRPr="00025B12" w:rsidTr="007C36F7">
        <w:trPr>
          <w:trHeight w:val="225"/>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I.1  Vzdělanostní úroveň obyvatelstva</w:t>
            </w:r>
          </w:p>
        </w:tc>
      </w:tr>
      <w:tr w:rsidR="00ED2CE5" w:rsidRPr="00025B12" w:rsidTr="007C36F7">
        <w:trPr>
          <w:trHeight w:val="20"/>
        </w:trPr>
        <w:tc>
          <w:tcPr>
            <w:tcW w:w="4606" w:type="dxa"/>
            <w:noWrap/>
            <w:vAlign w:val="center"/>
            <w:hideMark/>
          </w:tcPr>
          <w:p w:rsidR="00D131AA" w:rsidRPr="00025B12" w:rsidRDefault="00D131AA"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I.1.1 Podíl dospělé populace s terciárním vzděláním</w:t>
            </w:r>
          </w:p>
          <w:p w:rsidR="00ED2CE5" w:rsidRPr="00025B12" w:rsidRDefault="00D131AA"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I.1.2 Podíl dospělé populace se středním nebo vyšším vzděláním</w:t>
            </w:r>
          </w:p>
        </w:tc>
        <w:tc>
          <w:tcPr>
            <w:tcW w:w="4606" w:type="dxa"/>
            <w:vAlign w:val="center"/>
          </w:tcPr>
          <w:p w:rsidR="00D131AA" w:rsidRPr="00025B12" w:rsidRDefault="00D131AA"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I.1.d1</w:t>
            </w:r>
            <w:r w:rsidR="00641D19" w:rsidRPr="00025B12">
              <w:rPr>
                <w:rFonts w:ascii="Verdana" w:eastAsia="Times New Roman" w:hAnsi="Verdana"/>
                <w:bCs/>
                <w:color w:val="000000"/>
                <w:sz w:val="18"/>
                <w:szCs w:val="18"/>
                <w:lang w:eastAsia="cs-CZ"/>
              </w:rPr>
              <w:t xml:space="preserve"> </w:t>
            </w:r>
            <w:r w:rsidRPr="00025B12">
              <w:rPr>
                <w:rFonts w:ascii="Verdana" w:eastAsia="Times New Roman" w:hAnsi="Verdana"/>
                <w:bCs/>
                <w:color w:val="000000"/>
                <w:sz w:val="18"/>
                <w:szCs w:val="18"/>
                <w:lang w:eastAsia="cs-CZ"/>
              </w:rPr>
              <w:t>Podíl dospělé populace s maturitou</w:t>
            </w:r>
          </w:p>
          <w:p w:rsidR="00ED2CE5" w:rsidRPr="00025B12" w:rsidRDefault="00D131AA"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I.1.d2</w:t>
            </w:r>
            <w:r w:rsidRPr="00025B12">
              <w:rPr>
                <w:rFonts w:ascii="Verdana" w:eastAsia="Times New Roman" w:hAnsi="Verdana"/>
                <w:bCs/>
                <w:color w:val="000000"/>
                <w:sz w:val="18"/>
                <w:szCs w:val="18"/>
                <w:lang w:eastAsia="cs-CZ"/>
              </w:rPr>
              <w:tab/>
            </w:r>
            <w:r w:rsidR="00641D19" w:rsidRPr="00025B12">
              <w:rPr>
                <w:rFonts w:ascii="Verdana" w:eastAsia="Times New Roman" w:hAnsi="Verdana"/>
                <w:bCs/>
                <w:color w:val="000000"/>
                <w:sz w:val="18"/>
                <w:szCs w:val="18"/>
                <w:lang w:eastAsia="cs-CZ"/>
              </w:rPr>
              <w:t xml:space="preserve"> </w:t>
            </w:r>
            <w:r w:rsidRPr="00025B12">
              <w:rPr>
                <w:rFonts w:ascii="Verdana" w:eastAsia="Times New Roman" w:hAnsi="Verdana"/>
                <w:bCs/>
                <w:color w:val="000000"/>
                <w:sz w:val="18"/>
                <w:szCs w:val="18"/>
                <w:lang w:eastAsia="cs-CZ"/>
              </w:rPr>
              <w:t>Vzdělanostní mobilita</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I.2  Mzdová diferenciace podle vzdělání</w:t>
            </w:r>
          </w:p>
        </w:tc>
      </w:tr>
      <w:tr w:rsidR="00ED2CE5" w:rsidRPr="00025B12" w:rsidTr="007C36F7">
        <w:trPr>
          <w:trHeight w:val="20"/>
        </w:trPr>
        <w:tc>
          <w:tcPr>
            <w:tcW w:w="4606" w:type="dxa"/>
            <w:noWrap/>
            <w:vAlign w:val="center"/>
            <w:hideMark/>
          </w:tcPr>
          <w:p w:rsidR="00ED2CE5" w:rsidRPr="00025B12" w:rsidRDefault="00D131AA"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I.2.1</w:t>
            </w:r>
            <w:r w:rsidRPr="00025B12">
              <w:rPr>
                <w:rFonts w:ascii="Verdana" w:eastAsia="Times New Roman" w:hAnsi="Verdana"/>
                <w:bCs/>
                <w:color w:val="000000"/>
                <w:sz w:val="18"/>
                <w:szCs w:val="18"/>
                <w:lang w:eastAsia="cs-CZ"/>
              </w:rPr>
              <w:tab/>
              <w:t>Mzdová diferenciace podle vzdělání</w:t>
            </w:r>
          </w:p>
        </w:tc>
        <w:tc>
          <w:tcPr>
            <w:tcW w:w="4606" w:type="dxa"/>
            <w:vAlign w:val="center"/>
          </w:tcPr>
          <w:p w:rsidR="00ED2CE5" w:rsidRPr="00025B12" w:rsidRDefault="00D131AA" w:rsidP="007C36F7">
            <w:pPr>
              <w:spacing w:after="0" w:line="240" w:lineRule="auto"/>
              <w:rPr>
                <w:rFonts w:ascii="Verdana" w:eastAsia="Times New Roman" w:hAnsi="Verdana"/>
                <w:bCs/>
                <w:color w:val="000000"/>
                <w:sz w:val="20"/>
                <w:szCs w:val="20"/>
                <w:lang w:eastAsia="cs-CZ"/>
              </w:rPr>
            </w:pPr>
            <w:r w:rsidRPr="00025B12">
              <w:rPr>
                <w:rFonts w:ascii="Verdana" w:eastAsia="Times New Roman" w:hAnsi="Verdana"/>
                <w:bCs/>
                <w:color w:val="000000"/>
                <w:sz w:val="20"/>
                <w:szCs w:val="20"/>
                <w:lang w:eastAsia="cs-CZ"/>
              </w:rPr>
              <w:t>-</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 xml:space="preserve">I.3   Legislativní a </w:t>
            </w:r>
            <w:r w:rsidR="00770790" w:rsidRPr="00025B12">
              <w:rPr>
                <w:rFonts w:ascii="Verdana" w:eastAsia="Times New Roman" w:hAnsi="Verdana"/>
                <w:bCs/>
                <w:color w:val="FFFFFF" w:themeColor="background1"/>
                <w:sz w:val="20"/>
                <w:szCs w:val="20"/>
                <w:lang w:eastAsia="cs-CZ"/>
              </w:rPr>
              <w:t>institucionální</w:t>
            </w:r>
            <w:r w:rsidRPr="00025B12">
              <w:rPr>
                <w:rFonts w:ascii="Verdana" w:eastAsia="Times New Roman" w:hAnsi="Verdana"/>
                <w:bCs/>
                <w:color w:val="FFFFFF" w:themeColor="background1"/>
                <w:sz w:val="20"/>
                <w:szCs w:val="20"/>
                <w:lang w:eastAsia="cs-CZ"/>
              </w:rPr>
              <w:t xml:space="preserve"> podpora DV</w:t>
            </w:r>
          </w:p>
        </w:tc>
      </w:tr>
      <w:tr w:rsidR="00ED2CE5" w:rsidRPr="00025B12" w:rsidTr="007C36F7">
        <w:trPr>
          <w:trHeight w:val="20"/>
        </w:trPr>
        <w:tc>
          <w:tcPr>
            <w:tcW w:w="4606" w:type="dxa"/>
            <w:noWrap/>
            <w:vAlign w:val="center"/>
            <w:hideMark/>
          </w:tcPr>
          <w:p w:rsidR="00ED2CE5" w:rsidRPr="00025B12" w:rsidRDefault="00641D19"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w:t>
            </w:r>
          </w:p>
          <w:p w:rsidR="00ED2CE5" w:rsidRPr="00025B12" w:rsidRDefault="00ED2CE5" w:rsidP="007C36F7">
            <w:pPr>
              <w:spacing w:after="0" w:line="240" w:lineRule="auto"/>
              <w:ind w:left="567" w:hanging="567"/>
              <w:rPr>
                <w:rFonts w:ascii="Verdana" w:eastAsia="Times New Roman" w:hAnsi="Verdana"/>
                <w:bCs/>
                <w:color w:val="000000"/>
                <w:sz w:val="18"/>
                <w:szCs w:val="18"/>
                <w:lang w:eastAsia="cs-CZ"/>
              </w:rPr>
            </w:pPr>
          </w:p>
        </w:tc>
        <w:tc>
          <w:tcPr>
            <w:tcW w:w="4606" w:type="dxa"/>
            <w:vAlign w:val="center"/>
          </w:tcPr>
          <w:p w:rsidR="00641D19" w:rsidRPr="00025B12" w:rsidRDefault="00641D19"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I.3.d1</w:t>
            </w:r>
            <w:r w:rsidRPr="00025B12">
              <w:rPr>
                <w:rFonts w:ascii="Verdana" w:eastAsia="Times New Roman" w:hAnsi="Verdana"/>
                <w:bCs/>
                <w:color w:val="000000"/>
                <w:sz w:val="18"/>
                <w:szCs w:val="18"/>
                <w:lang w:eastAsia="cs-CZ"/>
              </w:rPr>
              <w:tab/>
              <w:t>Legislativní rámec dalšího vzdělávání</w:t>
            </w:r>
          </w:p>
          <w:p w:rsidR="00ED2CE5" w:rsidRPr="00025B12" w:rsidRDefault="00641D19"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I.3.d2</w:t>
            </w:r>
            <w:r w:rsidRPr="00025B12">
              <w:rPr>
                <w:rFonts w:ascii="Verdana" w:eastAsia="Times New Roman" w:hAnsi="Verdana"/>
                <w:bCs/>
                <w:color w:val="000000"/>
                <w:sz w:val="18"/>
                <w:szCs w:val="18"/>
                <w:lang w:eastAsia="cs-CZ"/>
              </w:rPr>
              <w:tab/>
              <w:t>Institucionální rámec dalšího vzdělávání</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I.4  Situace na trhu práce</w:t>
            </w:r>
          </w:p>
        </w:tc>
      </w:tr>
      <w:tr w:rsidR="00F73ED4" w:rsidRPr="00025B12" w:rsidTr="007C36F7">
        <w:trPr>
          <w:trHeight w:val="20"/>
        </w:trPr>
        <w:tc>
          <w:tcPr>
            <w:tcW w:w="4606" w:type="dxa"/>
            <w:noWrap/>
            <w:vAlign w:val="center"/>
            <w:hideMark/>
          </w:tcPr>
          <w:p w:rsidR="00F73ED4" w:rsidRPr="00025B12" w:rsidRDefault="00F73ED4"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I.4.1</w:t>
            </w:r>
            <w:r w:rsidRPr="00025B12">
              <w:rPr>
                <w:rFonts w:ascii="Verdana" w:eastAsia="Times New Roman" w:hAnsi="Verdana"/>
                <w:bCs/>
                <w:color w:val="000000"/>
                <w:sz w:val="18"/>
                <w:szCs w:val="18"/>
                <w:lang w:eastAsia="cs-CZ"/>
              </w:rPr>
              <w:tab/>
              <w:t>Míra ekonomické aktivity</w:t>
            </w:r>
          </w:p>
          <w:p w:rsidR="00F73ED4" w:rsidRPr="00025B12" w:rsidRDefault="00F73ED4"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I.4.2</w:t>
            </w:r>
            <w:r w:rsidRPr="00025B12">
              <w:rPr>
                <w:rFonts w:ascii="Verdana" w:eastAsia="Times New Roman" w:hAnsi="Verdana"/>
                <w:bCs/>
                <w:color w:val="000000"/>
                <w:sz w:val="18"/>
                <w:szCs w:val="18"/>
                <w:lang w:eastAsia="cs-CZ"/>
              </w:rPr>
              <w:tab/>
              <w:t>Míra nezaměstnanosti</w:t>
            </w:r>
          </w:p>
        </w:tc>
        <w:tc>
          <w:tcPr>
            <w:tcW w:w="4606" w:type="dxa"/>
            <w:vAlign w:val="center"/>
          </w:tcPr>
          <w:p w:rsidR="00F73ED4" w:rsidRPr="00025B12" w:rsidRDefault="00F73ED4" w:rsidP="007C36F7">
            <w:pPr>
              <w:spacing w:after="0" w:line="240" w:lineRule="auto"/>
              <w:rPr>
                <w:rFonts w:ascii="Verdana" w:eastAsia="Times New Roman" w:hAnsi="Verdana"/>
                <w:bCs/>
                <w:color w:val="000000"/>
                <w:sz w:val="20"/>
                <w:szCs w:val="20"/>
                <w:lang w:eastAsia="cs-CZ"/>
              </w:rPr>
            </w:pPr>
            <w:r w:rsidRPr="00025B12">
              <w:rPr>
                <w:rFonts w:ascii="Verdana" w:eastAsia="Times New Roman" w:hAnsi="Verdana"/>
                <w:bCs/>
                <w:color w:val="000000"/>
                <w:sz w:val="20"/>
                <w:szCs w:val="20"/>
                <w:lang w:eastAsia="cs-CZ"/>
              </w:rPr>
              <w:t>-</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I.5   Kompetence dospělé populace a požadavky na kompetence</w:t>
            </w:r>
          </w:p>
        </w:tc>
      </w:tr>
      <w:tr w:rsidR="00ED2CE5" w:rsidRPr="00025B12" w:rsidTr="007C36F7">
        <w:trPr>
          <w:trHeight w:val="20"/>
        </w:trPr>
        <w:tc>
          <w:tcPr>
            <w:tcW w:w="4606" w:type="dxa"/>
            <w:noWrap/>
            <w:vAlign w:val="center"/>
            <w:hideMark/>
          </w:tcPr>
          <w:p w:rsidR="00ED2CE5" w:rsidRPr="00025B12" w:rsidRDefault="00641D19"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I.5.1</w:t>
            </w:r>
            <w:r w:rsidRPr="00025B12">
              <w:rPr>
                <w:rFonts w:ascii="Verdana" w:eastAsia="Times New Roman" w:hAnsi="Verdana"/>
                <w:bCs/>
                <w:color w:val="000000"/>
                <w:sz w:val="18"/>
                <w:szCs w:val="18"/>
                <w:lang w:eastAsia="cs-CZ"/>
              </w:rPr>
              <w:tab/>
              <w:t>Požadavky zaměstnavatelů na kompetence</w:t>
            </w:r>
          </w:p>
        </w:tc>
        <w:tc>
          <w:tcPr>
            <w:tcW w:w="4606" w:type="dxa"/>
            <w:vAlign w:val="center"/>
          </w:tcPr>
          <w:p w:rsidR="00ED2CE5" w:rsidRPr="00025B12" w:rsidRDefault="00641D19"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I.5.d1</w:t>
            </w:r>
            <w:r w:rsidRPr="00025B12">
              <w:rPr>
                <w:rFonts w:ascii="Verdana" w:eastAsia="Times New Roman" w:hAnsi="Verdana"/>
                <w:bCs/>
                <w:color w:val="000000"/>
                <w:sz w:val="18"/>
                <w:szCs w:val="18"/>
                <w:lang w:eastAsia="cs-CZ"/>
              </w:rPr>
              <w:tab/>
              <w:t>Matematické, čtenářské a ICT kompetence dospělých</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 xml:space="preserve">I.6  Inovativnost </w:t>
            </w:r>
          </w:p>
        </w:tc>
      </w:tr>
      <w:tr w:rsidR="00ED2CE5" w:rsidRPr="00025B12" w:rsidTr="007C36F7">
        <w:trPr>
          <w:trHeight w:val="20"/>
        </w:trPr>
        <w:tc>
          <w:tcPr>
            <w:tcW w:w="4606" w:type="dxa"/>
            <w:noWrap/>
            <w:vAlign w:val="center"/>
            <w:hideMark/>
          </w:tcPr>
          <w:p w:rsidR="00ED2CE5" w:rsidRPr="00025B12" w:rsidRDefault="00641D19"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I.6.1</w:t>
            </w:r>
            <w:r w:rsidRPr="00025B12">
              <w:rPr>
                <w:rFonts w:ascii="Verdana" w:eastAsia="Times New Roman" w:hAnsi="Verdana"/>
                <w:bCs/>
                <w:color w:val="000000"/>
                <w:sz w:val="18"/>
                <w:szCs w:val="18"/>
                <w:lang w:eastAsia="cs-CZ"/>
              </w:rPr>
              <w:tab/>
              <w:t>Inovační kapacita</w:t>
            </w:r>
          </w:p>
        </w:tc>
        <w:tc>
          <w:tcPr>
            <w:tcW w:w="4606" w:type="dxa"/>
            <w:vAlign w:val="center"/>
          </w:tcPr>
          <w:p w:rsidR="00ED2CE5" w:rsidRPr="00025B12" w:rsidRDefault="00641D19"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I.6.d1</w:t>
            </w:r>
            <w:r w:rsidRPr="00025B12">
              <w:rPr>
                <w:rFonts w:ascii="Verdana" w:eastAsia="Times New Roman" w:hAnsi="Verdana"/>
                <w:bCs/>
                <w:color w:val="000000"/>
                <w:sz w:val="18"/>
                <w:szCs w:val="18"/>
                <w:lang w:eastAsia="cs-CZ"/>
              </w:rPr>
              <w:tab/>
              <w:t>Podniky vzdělávající v souvislosti s inovacemi</w:t>
            </w:r>
          </w:p>
        </w:tc>
      </w:tr>
      <w:tr w:rsidR="0018169D" w:rsidRPr="00025B12" w:rsidTr="007C36F7">
        <w:trPr>
          <w:trHeight w:val="20"/>
        </w:trPr>
        <w:tc>
          <w:tcPr>
            <w:tcW w:w="9212" w:type="dxa"/>
            <w:gridSpan w:val="2"/>
            <w:shd w:val="clear" w:color="auto" w:fill="663399"/>
            <w:vAlign w:val="center"/>
          </w:tcPr>
          <w:p w:rsidR="0018169D" w:rsidRPr="00025B12" w:rsidRDefault="0018169D" w:rsidP="007C36F7">
            <w:pPr>
              <w:spacing w:after="0" w:line="240" w:lineRule="auto"/>
              <w:rPr>
                <w:rFonts w:ascii="Verdana" w:hAnsi="Verdana"/>
                <w:sz w:val="20"/>
                <w:szCs w:val="20"/>
              </w:rPr>
            </w:pPr>
            <w:r w:rsidRPr="00025B12">
              <w:rPr>
                <w:rFonts w:ascii="Verdana" w:hAnsi="Verdana"/>
                <w:b/>
                <w:color w:val="FFFFFF" w:themeColor="background1"/>
                <w:sz w:val="24"/>
                <w:szCs w:val="24"/>
              </w:rPr>
              <w:t>II. Vstupy</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II.1  Výdaje jednotlivců na další vzdělávání</w:t>
            </w:r>
          </w:p>
        </w:tc>
      </w:tr>
      <w:tr w:rsidR="00ED2CE5" w:rsidRPr="00025B12" w:rsidTr="007C36F7">
        <w:trPr>
          <w:trHeight w:val="20"/>
        </w:trPr>
        <w:tc>
          <w:tcPr>
            <w:tcW w:w="4606" w:type="dxa"/>
            <w:noWrap/>
            <w:vAlign w:val="center"/>
            <w:hideMark/>
          </w:tcPr>
          <w:p w:rsidR="00ED2CE5"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II.1.1</w:t>
            </w:r>
            <w:r w:rsidRPr="00025B12">
              <w:rPr>
                <w:rFonts w:ascii="Verdana" w:eastAsia="Times New Roman" w:hAnsi="Verdana"/>
                <w:bCs/>
                <w:color w:val="000000"/>
                <w:sz w:val="18"/>
                <w:szCs w:val="18"/>
                <w:lang w:eastAsia="cs-CZ"/>
              </w:rPr>
              <w:tab/>
              <w:t>Podíl účastníků, kteří si sami hradí náklady na další neformální vzdělávání</w:t>
            </w:r>
          </w:p>
        </w:tc>
        <w:tc>
          <w:tcPr>
            <w:tcW w:w="4606" w:type="dxa"/>
            <w:vAlign w:val="center"/>
          </w:tcPr>
          <w:p w:rsidR="003201BD"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II.1.d1</w:t>
            </w:r>
            <w:r w:rsidRPr="00025B12">
              <w:rPr>
                <w:rFonts w:ascii="Verdana" w:eastAsia="Times New Roman" w:hAnsi="Verdana"/>
                <w:bCs/>
                <w:color w:val="000000"/>
                <w:sz w:val="18"/>
                <w:szCs w:val="18"/>
                <w:lang w:eastAsia="cs-CZ"/>
              </w:rPr>
              <w:tab/>
              <w:t>Podíl dospělých účastníků, kteří si sami hradí náklady na formální vzdělávání</w:t>
            </w:r>
          </w:p>
          <w:p w:rsidR="003201BD"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II.1.d2</w:t>
            </w:r>
            <w:r w:rsidRPr="00025B12">
              <w:rPr>
                <w:rFonts w:ascii="Verdana" w:eastAsia="Times New Roman" w:hAnsi="Verdana"/>
                <w:bCs/>
                <w:color w:val="000000"/>
                <w:sz w:val="18"/>
                <w:szCs w:val="18"/>
                <w:lang w:eastAsia="cs-CZ"/>
              </w:rPr>
              <w:tab/>
              <w:t>Výdaje účastníků na další formální vzdělávání</w:t>
            </w:r>
          </w:p>
          <w:p w:rsidR="00ED2CE5"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II.1.d3</w:t>
            </w:r>
            <w:r w:rsidRPr="00025B12">
              <w:rPr>
                <w:rFonts w:ascii="Verdana" w:eastAsia="Times New Roman" w:hAnsi="Verdana"/>
                <w:bCs/>
                <w:color w:val="000000"/>
                <w:sz w:val="18"/>
                <w:szCs w:val="18"/>
                <w:lang w:eastAsia="cs-CZ"/>
              </w:rPr>
              <w:tab/>
              <w:t>Výdaje účastníků na další neformální vzdělávání</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II.2   Výdaje zaměstnavatelů na další vzdělávání</w:t>
            </w:r>
          </w:p>
        </w:tc>
      </w:tr>
      <w:tr w:rsidR="00ED2CE5" w:rsidRPr="00025B12" w:rsidTr="007C36F7">
        <w:trPr>
          <w:trHeight w:val="20"/>
        </w:trPr>
        <w:tc>
          <w:tcPr>
            <w:tcW w:w="4606" w:type="dxa"/>
            <w:noWrap/>
            <w:vAlign w:val="center"/>
            <w:hideMark/>
          </w:tcPr>
          <w:p w:rsidR="003201BD"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II.2.1</w:t>
            </w:r>
            <w:r w:rsidRPr="00025B12">
              <w:rPr>
                <w:rFonts w:ascii="Verdana" w:eastAsia="Times New Roman" w:hAnsi="Verdana"/>
                <w:bCs/>
                <w:color w:val="000000"/>
                <w:sz w:val="18"/>
                <w:szCs w:val="18"/>
                <w:lang w:eastAsia="cs-CZ"/>
              </w:rPr>
              <w:tab/>
              <w:t xml:space="preserve">Podíl nákladů na </w:t>
            </w:r>
            <w:r w:rsidR="0082749F">
              <w:rPr>
                <w:rFonts w:ascii="Verdana" w:eastAsia="Times New Roman" w:hAnsi="Verdana"/>
                <w:bCs/>
                <w:color w:val="000000"/>
                <w:sz w:val="18"/>
                <w:szCs w:val="18"/>
                <w:lang w:eastAsia="cs-CZ"/>
              </w:rPr>
              <w:t>další vzdělávání</w:t>
            </w:r>
            <w:r w:rsidRPr="00025B12">
              <w:rPr>
                <w:rFonts w:ascii="Verdana" w:eastAsia="Times New Roman" w:hAnsi="Verdana"/>
                <w:bCs/>
                <w:color w:val="000000"/>
                <w:sz w:val="18"/>
                <w:szCs w:val="18"/>
                <w:lang w:eastAsia="cs-CZ"/>
              </w:rPr>
              <w:t xml:space="preserve"> zaměstna</w:t>
            </w:r>
            <w:r w:rsidR="0082749F">
              <w:rPr>
                <w:rFonts w:ascii="Verdana" w:eastAsia="Times New Roman" w:hAnsi="Verdana"/>
                <w:bCs/>
                <w:color w:val="000000"/>
                <w:sz w:val="18"/>
                <w:szCs w:val="18"/>
                <w:lang w:eastAsia="cs-CZ"/>
              </w:rPr>
              <w:t>nců</w:t>
            </w:r>
            <w:r w:rsidRPr="00025B12">
              <w:rPr>
                <w:rFonts w:ascii="Verdana" w:eastAsia="Times New Roman" w:hAnsi="Verdana"/>
                <w:bCs/>
                <w:color w:val="000000"/>
                <w:sz w:val="18"/>
                <w:szCs w:val="18"/>
                <w:lang w:eastAsia="cs-CZ"/>
              </w:rPr>
              <w:t xml:space="preserve"> na celkových nákladech práce</w:t>
            </w:r>
          </w:p>
          <w:p w:rsidR="00ED2CE5"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II.2.2</w:t>
            </w:r>
            <w:r w:rsidRPr="00025B12">
              <w:rPr>
                <w:rFonts w:ascii="Verdana" w:eastAsia="Times New Roman" w:hAnsi="Verdana"/>
                <w:bCs/>
                <w:color w:val="000000"/>
                <w:sz w:val="18"/>
                <w:szCs w:val="18"/>
                <w:lang w:eastAsia="cs-CZ"/>
              </w:rPr>
              <w:tab/>
              <w:t xml:space="preserve">Náklady na </w:t>
            </w:r>
            <w:r w:rsidR="0082749F" w:rsidRPr="0082749F">
              <w:rPr>
                <w:rFonts w:ascii="Verdana" w:eastAsia="Times New Roman" w:hAnsi="Verdana"/>
                <w:bCs/>
                <w:color w:val="000000"/>
                <w:sz w:val="18"/>
                <w:szCs w:val="18"/>
                <w:lang w:eastAsia="cs-CZ"/>
              </w:rPr>
              <w:t>další vzdělávání</w:t>
            </w:r>
            <w:r w:rsidRPr="00025B12">
              <w:rPr>
                <w:rFonts w:ascii="Verdana" w:eastAsia="Times New Roman" w:hAnsi="Verdana"/>
                <w:bCs/>
                <w:color w:val="000000"/>
                <w:sz w:val="18"/>
                <w:szCs w:val="18"/>
                <w:lang w:eastAsia="cs-CZ"/>
              </w:rPr>
              <w:t xml:space="preserve"> v přepočtu na zaměstnanou osobu</w:t>
            </w:r>
          </w:p>
        </w:tc>
        <w:tc>
          <w:tcPr>
            <w:tcW w:w="4606" w:type="dxa"/>
            <w:vAlign w:val="center"/>
          </w:tcPr>
          <w:p w:rsidR="003201BD"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II.2.d1</w:t>
            </w:r>
            <w:r w:rsidRPr="00025B12">
              <w:rPr>
                <w:rFonts w:ascii="Verdana" w:eastAsia="Times New Roman" w:hAnsi="Verdana"/>
                <w:bCs/>
                <w:color w:val="000000"/>
                <w:sz w:val="18"/>
                <w:szCs w:val="18"/>
                <w:lang w:eastAsia="cs-CZ"/>
              </w:rPr>
              <w:tab/>
              <w:t>Podíl nákladů na kurzy DOV na celkových nákladech práce</w:t>
            </w:r>
          </w:p>
          <w:p w:rsidR="003201BD"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II.2.d2</w:t>
            </w:r>
            <w:r w:rsidRPr="00025B12">
              <w:rPr>
                <w:rFonts w:ascii="Verdana" w:eastAsia="Times New Roman" w:hAnsi="Verdana"/>
                <w:bCs/>
                <w:color w:val="000000"/>
                <w:sz w:val="18"/>
                <w:szCs w:val="18"/>
                <w:lang w:eastAsia="cs-CZ"/>
              </w:rPr>
              <w:tab/>
              <w:t>Náklady na kurzy DOV v přepočtu na účastníka a na výukovou hodinu</w:t>
            </w:r>
          </w:p>
          <w:p w:rsidR="00ED2CE5" w:rsidRPr="00025B12" w:rsidRDefault="00ED2CE5" w:rsidP="00FB374C">
            <w:pPr>
              <w:spacing w:after="0" w:line="240" w:lineRule="auto"/>
              <w:rPr>
                <w:rFonts w:ascii="Verdana" w:eastAsia="Times New Roman" w:hAnsi="Verdana"/>
                <w:bCs/>
                <w:color w:val="000000"/>
                <w:sz w:val="18"/>
                <w:szCs w:val="18"/>
                <w:lang w:eastAsia="cs-CZ"/>
              </w:rPr>
            </w:pP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 xml:space="preserve">II.3  Státní </w:t>
            </w:r>
            <w:r w:rsidR="003201BD" w:rsidRPr="00025B12">
              <w:rPr>
                <w:rFonts w:ascii="Verdana" w:eastAsia="Times New Roman" w:hAnsi="Verdana"/>
                <w:bCs/>
                <w:color w:val="FFFFFF" w:themeColor="background1"/>
                <w:sz w:val="20"/>
                <w:szCs w:val="20"/>
                <w:lang w:eastAsia="cs-CZ"/>
              </w:rPr>
              <w:t xml:space="preserve">výdaje na podporu </w:t>
            </w:r>
            <w:r w:rsidRPr="00025B12">
              <w:rPr>
                <w:rFonts w:ascii="Verdana" w:eastAsia="Times New Roman" w:hAnsi="Verdana"/>
                <w:bCs/>
                <w:color w:val="FFFFFF" w:themeColor="background1"/>
                <w:sz w:val="20"/>
                <w:szCs w:val="20"/>
                <w:lang w:eastAsia="cs-CZ"/>
              </w:rPr>
              <w:t>dalšího vzdělávání</w:t>
            </w:r>
          </w:p>
        </w:tc>
      </w:tr>
      <w:tr w:rsidR="00ED2CE5" w:rsidRPr="00025B12" w:rsidTr="007C36F7">
        <w:trPr>
          <w:trHeight w:val="20"/>
        </w:trPr>
        <w:tc>
          <w:tcPr>
            <w:tcW w:w="4606" w:type="dxa"/>
            <w:noWrap/>
            <w:vAlign w:val="center"/>
            <w:hideMark/>
          </w:tcPr>
          <w:p w:rsidR="003201BD"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II.3.1</w:t>
            </w:r>
            <w:r w:rsidRPr="00025B12">
              <w:rPr>
                <w:rFonts w:ascii="Verdana" w:eastAsia="Times New Roman" w:hAnsi="Verdana"/>
                <w:bCs/>
                <w:color w:val="000000"/>
                <w:sz w:val="18"/>
                <w:szCs w:val="18"/>
                <w:lang w:eastAsia="cs-CZ"/>
              </w:rPr>
              <w:tab/>
              <w:t xml:space="preserve">Výdaje na rekvalifikace </w:t>
            </w:r>
          </w:p>
          <w:p w:rsidR="00ED2CE5"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II.3.2</w:t>
            </w:r>
            <w:r w:rsidRPr="00025B12">
              <w:rPr>
                <w:rFonts w:ascii="Verdana" w:eastAsia="Times New Roman" w:hAnsi="Verdana"/>
                <w:bCs/>
                <w:color w:val="000000"/>
                <w:sz w:val="18"/>
                <w:szCs w:val="18"/>
                <w:lang w:eastAsia="cs-CZ"/>
              </w:rPr>
              <w:tab/>
              <w:t>Příjmy zaměstnavatelů na další odborné vzdělávání z dotací a společných fondů</w:t>
            </w:r>
          </w:p>
        </w:tc>
        <w:tc>
          <w:tcPr>
            <w:tcW w:w="4606" w:type="dxa"/>
            <w:vAlign w:val="center"/>
          </w:tcPr>
          <w:p w:rsidR="003201BD"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II.3.d1</w:t>
            </w:r>
            <w:r w:rsidRPr="00025B12">
              <w:rPr>
                <w:rFonts w:ascii="Verdana" w:eastAsia="Times New Roman" w:hAnsi="Verdana"/>
                <w:bCs/>
                <w:color w:val="000000"/>
                <w:sz w:val="18"/>
                <w:szCs w:val="18"/>
                <w:lang w:eastAsia="cs-CZ"/>
              </w:rPr>
              <w:tab/>
              <w:t>Investiční pobídky na rekvalifikace</w:t>
            </w:r>
          </w:p>
          <w:p w:rsidR="003201BD"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II.3.d2</w:t>
            </w:r>
            <w:r w:rsidRPr="00025B12">
              <w:rPr>
                <w:rFonts w:ascii="Verdana" w:eastAsia="Times New Roman" w:hAnsi="Verdana"/>
                <w:bCs/>
                <w:color w:val="000000"/>
                <w:sz w:val="18"/>
                <w:szCs w:val="18"/>
                <w:lang w:eastAsia="cs-CZ"/>
              </w:rPr>
              <w:tab/>
              <w:t>Výdaje na rekvalifikace v přepočtu na účastníka</w:t>
            </w:r>
          </w:p>
          <w:p w:rsidR="00ED2CE5"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II.3.d3</w:t>
            </w:r>
            <w:r w:rsidRPr="00025B12">
              <w:rPr>
                <w:rFonts w:ascii="Verdana" w:eastAsia="Times New Roman" w:hAnsi="Verdana"/>
                <w:bCs/>
                <w:color w:val="000000"/>
                <w:sz w:val="18"/>
                <w:szCs w:val="18"/>
                <w:lang w:eastAsia="cs-CZ"/>
              </w:rPr>
              <w:tab/>
              <w:t>Podpora dalšího vzdělávání ze strukturálních fondů</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II.4  Pedagogičtí pracovníci a lektoři dalšího vzdělávání</w:t>
            </w:r>
          </w:p>
        </w:tc>
      </w:tr>
      <w:tr w:rsidR="00ED2CE5" w:rsidRPr="00025B12" w:rsidTr="007C36F7">
        <w:trPr>
          <w:trHeight w:val="20"/>
        </w:trPr>
        <w:tc>
          <w:tcPr>
            <w:tcW w:w="4606" w:type="dxa"/>
            <w:noWrap/>
            <w:vAlign w:val="center"/>
            <w:hideMark/>
          </w:tcPr>
          <w:p w:rsidR="00ED2CE5"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II.4.1</w:t>
            </w:r>
            <w:r w:rsidRPr="00025B12">
              <w:rPr>
                <w:rFonts w:ascii="Verdana" w:eastAsia="Times New Roman" w:hAnsi="Verdana"/>
                <w:bCs/>
                <w:color w:val="000000"/>
                <w:sz w:val="18"/>
                <w:szCs w:val="18"/>
                <w:lang w:eastAsia="cs-CZ"/>
              </w:rPr>
              <w:tab/>
              <w:t xml:space="preserve">Odhad celkového počtu </w:t>
            </w:r>
            <w:r w:rsidR="0082749F">
              <w:rPr>
                <w:rFonts w:ascii="Verdana" w:eastAsia="Times New Roman" w:hAnsi="Verdana"/>
                <w:bCs/>
                <w:color w:val="000000"/>
                <w:sz w:val="18"/>
                <w:szCs w:val="18"/>
                <w:lang w:eastAsia="cs-CZ"/>
              </w:rPr>
              <w:t xml:space="preserve">lektorů dalšího </w:t>
            </w:r>
            <w:r w:rsidR="0082749F" w:rsidRPr="0082749F">
              <w:rPr>
                <w:rFonts w:ascii="Verdana" w:eastAsia="Times New Roman" w:hAnsi="Verdana"/>
                <w:bCs/>
                <w:color w:val="000000"/>
                <w:sz w:val="18"/>
                <w:szCs w:val="18"/>
                <w:lang w:eastAsia="cs-CZ"/>
              </w:rPr>
              <w:t>vzdělávání</w:t>
            </w:r>
          </w:p>
        </w:tc>
        <w:tc>
          <w:tcPr>
            <w:tcW w:w="4606" w:type="dxa"/>
            <w:vAlign w:val="center"/>
          </w:tcPr>
          <w:p w:rsidR="003201BD"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II.4.d1</w:t>
            </w:r>
            <w:r w:rsidRPr="00025B12">
              <w:rPr>
                <w:rFonts w:ascii="Verdana" w:eastAsia="Times New Roman" w:hAnsi="Verdana"/>
                <w:bCs/>
                <w:color w:val="000000"/>
                <w:sz w:val="18"/>
                <w:szCs w:val="18"/>
                <w:lang w:eastAsia="cs-CZ"/>
              </w:rPr>
              <w:tab/>
              <w:t>Počet osob pracujících jako pedagog v oblasti dalšího vzdělávání</w:t>
            </w:r>
          </w:p>
          <w:p w:rsidR="003201BD"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II.4.d2</w:t>
            </w:r>
            <w:r w:rsidRPr="00025B12">
              <w:rPr>
                <w:rFonts w:ascii="Verdana" w:eastAsia="Times New Roman" w:hAnsi="Verdana"/>
                <w:bCs/>
                <w:color w:val="000000"/>
                <w:sz w:val="18"/>
                <w:szCs w:val="18"/>
                <w:lang w:eastAsia="cs-CZ"/>
              </w:rPr>
              <w:tab/>
              <w:t xml:space="preserve">Struktura </w:t>
            </w:r>
            <w:r w:rsidR="00FA0F63">
              <w:rPr>
                <w:rFonts w:ascii="Verdana" w:eastAsia="Times New Roman" w:hAnsi="Verdana"/>
                <w:bCs/>
                <w:color w:val="000000"/>
                <w:sz w:val="18"/>
                <w:szCs w:val="18"/>
                <w:lang w:eastAsia="cs-CZ"/>
              </w:rPr>
              <w:t>lektorů ve</w:t>
            </w:r>
            <w:r w:rsidRPr="00025B12">
              <w:rPr>
                <w:rFonts w:ascii="Verdana" w:eastAsia="Times New Roman" w:hAnsi="Verdana"/>
                <w:bCs/>
                <w:color w:val="000000"/>
                <w:sz w:val="18"/>
                <w:szCs w:val="18"/>
                <w:lang w:eastAsia="cs-CZ"/>
              </w:rPr>
              <w:t xml:space="preserve"> vzdělávacích institucí</w:t>
            </w:r>
            <w:r w:rsidR="00FA0F63">
              <w:rPr>
                <w:rFonts w:ascii="Verdana" w:eastAsia="Times New Roman" w:hAnsi="Verdana"/>
                <w:bCs/>
                <w:color w:val="000000"/>
                <w:sz w:val="18"/>
                <w:szCs w:val="18"/>
                <w:lang w:eastAsia="cs-CZ"/>
              </w:rPr>
              <w:t>ch</w:t>
            </w:r>
          </w:p>
          <w:p w:rsidR="00ED2CE5" w:rsidRPr="00025B12" w:rsidRDefault="003201BD"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II.4.d3</w:t>
            </w:r>
            <w:r w:rsidRPr="00025B12">
              <w:rPr>
                <w:rFonts w:ascii="Verdana" w:eastAsia="Times New Roman" w:hAnsi="Verdana"/>
                <w:bCs/>
                <w:color w:val="000000"/>
                <w:sz w:val="18"/>
                <w:szCs w:val="18"/>
                <w:lang w:eastAsia="cs-CZ"/>
              </w:rPr>
              <w:tab/>
            </w:r>
            <w:r w:rsidR="007C29E3" w:rsidRPr="007C29E3">
              <w:rPr>
                <w:rFonts w:ascii="Verdana" w:eastAsia="Times New Roman" w:hAnsi="Verdana"/>
                <w:bCs/>
                <w:color w:val="000000"/>
                <w:sz w:val="18"/>
                <w:szCs w:val="18"/>
                <w:lang w:eastAsia="cs-CZ"/>
              </w:rPr>
              <w:t>Lektoři dalšího vzdělávání s uznanou kvalifikací dle NSK</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II.5  Poskytovatelé dalšího vzdělávání</w:t>
            </w:r>
          </w:p>
        </w:tc>
      </w:tr>
      <w:tr w:rsidR="00E05E38" w:rsidRPr="00025B12" w:rsidTr="007C36F7">
        <w:trPr>
          <w:trHeight w:val="20"/>
        </w:trPr>
        <w:tc>
          <w:tcPr>
            <w:tcW w:w="4606" w:type="dxa"/>
            <w:noWrap/>
            <w:vAlign w:val="center"/>
            <w:hideMark/>
          </w:tcPr>
          <w:p w:rsidR="00E05E38" w:rsidRPr="00025B12" w:rsidRDefault="00E05E38"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II.5.1</w:t>
            </w:r>
            <w:r w:rsidRPr="00025B12">
              <w:rPr>
                <w:rFonts w:ascii="Verdana" w:eastAsia="Times New Roman" w:hAnsi="Verdana"/>
                <w:bCs/>
                <w:color w:val="000000"/>
                <w:sz w:val="18"/>
                <w:szCs w:val="18"/>
                <w:lang w:eastAsia="cs-CZ"/>
              </w:rPr>
              <w:tab/>
              <w:t>Počet a struktura poskytovatelů na trhu dalšího vzdělávání</w:t>
            </w:r>
          </w:p>
        </w:tc>
        <w:tc>
          <w:tcPr>
            <w:tcW w:w="4606" w:type="dxa"/>
            <w:vAlign w:val="center"/>
          </w:tcPr>
          <w:p w:rsidR="00E05E38" w:rsidRPr="00025B12" w:rsidRDefault="00E05E38"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II.5.d1</w:t>
            </w:r>
            <w:r w:rsidRPr="00025B12">
              <w:rPr>
                <w:rFonts w:ascii="Verdana" w:eastAsia="Times New Roman" w:hAnsi="Verdana"/>
                <w:bCs/>
                <w:color w:val="000000"/>
                <w:sz w:val="18"/>
                <w:szCs w:val="18"/>
                <w:lang w:eastAsia="cs-CZ"/>
              </w:rPr>
              <w:tab/>
              <w:t>Struktura poskytovatelů podnikového vzdělávání</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II.6  Kapacity pro uznávání výsledků dalšího vzdělávání</w:t>
            </w:r>
          </w:p>
        </w:tc>
      </w:tr>
      <w:tr w:rsidR="00ED2CE5" w:rsidRPr="00025B12" w:rsidTr="007C36F7">
        <w:trPr>
          <w:trHeight w:val="20"/>
        </w:trPr>
        <w:tc>
          <w:tcPr>
            <w:tcW w:w="4606" w:type="dxa"/>
            <w:noWrap/>
            <w:vAlign w:val="center"/>
            <w:hideMark/>
          </w:tcPr>
          <w:p w:rsidR="00ED2CE5" w:rsidRPr="00025B12" w:rsidRDefault="00E05E38"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II.6.1</w:t>
            </w:r>
            <w:r w:rsidRPr="00025B12">
              <w:rPr>
                <w:rFonts w:ascii="Verdana" w:eastAsia="Times New Roman" w:hAnsi="Verdana"/>
                <w:bCs/>
                <w:color w:val="000000"/>
                <w:sz w:val="18"/>
                <w:szCs w:val="18"/>
                <w:lang w:eastAsia="cs-CZ"/>
              </w:rPr>
              <w:tab/>
              <w:t>Počet autorizací pro uznávání výsledků dalšího vzdělávání</w:t>
            </w:r>
          </w:p>
        </w:tc>
        <w:tc>
          <w:tcPr>
            <w:tcW w:w="4606" w:type="dxa"/>
            <w:vAlign w:val="center"/>
          </w:tcPr>
          <w:p w:rsidR="00ED2CE5" w:rsidRPr="00025B12" w:rsidRDefault="00E05E38" w:rsidP="007C36F7">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II.6.d1</w:t>
            </w:r>
            <w:r w:rsidRPr="00025B12">
              <w:rPr>
                <w:rFonts w:ascii="Verdana" w:eastAsia="Times New Roman" w:hAnsi="Verdana"/>
                <w:bCs/>
                <w:color w:val="000000"/>
                <w:sz w:val="18"/>
                <w:szCs w:val="18"/>
                <w:lang w:eastAsia="cs-CZ"/>
              </w:rPr>
              <w:tab/>
              <w:t>Počet autorizovaných osob pro uznávání výsledků dalšího vzdělávání</w:t>
            </w:r>
          </w:p>
        </w:tc>
      </w:tr>
    </w:tbl>
    <w:p w:rsidR="00F63218" w:rsidRPr="00025B12" w:rsidRDefault="00F63218" w:rsidP="00F63218">
      <w:pPr>
        <w:spacing w:after="0"/>
        <w:rPr>
          <w:sz w:val="16"/>
          <w:szCs w:val="16"/>
        </w:rPr>
      </w:pPr>
      <w:r w:rsidRPr="00025B12">
        <w:br w:type="page"/>
      </w:r>
    </w:p>
    <w:tbl>
      <w:tblPr>
        <w:tblStyle w:val="Mkatabulky"/>
        <w:tblW w:w="0" w:type="auto"/>
        <w:tblLook w:val="04A0"/>
      </w:tblPr>
      <w:tblGrid>
        <w:gridCol w:w="4606"/>
        <w:gridCol w:w="4606"/>
      </w:tblGrid>
      <w:tr w:rsidR="0018169D" w:rsidRPr="00025B12" w:rsidTr="007C36F7">
        <w:trPr>
          <w:trHeight w:val="20"/>
        </w:trPr>
        <w:tc>
          <w:tcPr>
            <w:tcW w:w="9212" w:type="dxa"/>
            <w:gridSpan w:val="2"/>
            <w:shd w:val="clear" w:color="auto" w:fill="663399"/>
            <w:vAlign w:val="center"/>
          </w:tcPr>
          <w:p w:rsidR="0018169D" w:rsidRPr="00025B12" w:rsidRDefault="00FB374C" w:rsidP="007C36F7">
            <w:pPr>
              <w:spacing w:after="0" w:line="240" w:lineRule="auto"/>
              <w:rPr>
                <w:rFonts w:ascii="Verdana" w:hAnsi="Verdana"/>
                <w:sz w:val="20"/>
                <w:szCs w:val="20"/>
              </w:rPr>
            </w:pPr>
            <w:r w:rsidRPr="00025B12">
              <w:br w:type="page"/>
            </w:r>
            <w:r w:rsidR="009E2223" w:rsidRPr="00025B12">
              <w:br w:type="page"/>
            </w:r>
            <w:r w:rsidR="0018169D" w:rsidRPr="00025B12">
              <w:rPr>
                <w:rFonts w:ascii="Verdana" w:hAnsi="Verdana"/>
                <w:b/>
                <w:color w:val="FFFFFF" w:themeColor="background1"/>
                <w:sz w:val="24"/>
                <w:szCs w:val="24"/>
              </w:rPr>
              <w:t>III. Procesy</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III.1   Nabídka formálního DV</w:t>
            </w:r>
          </w:p>
        </w:tc>
      </w:tr>
      <w:tr w:rsidR="00ED2CE5" w:rsidRPr="00025B12" w:rsidTr="007C36F7">
        <w:trPr>
          <w:trHeight w:val="20"/>
        </w:trPr>
        <w:tc>
          <w:tcPr>
            <w:tcW w:w="4606" w:type="dxa"/>
            <w:noWrap/>
            <w:vAlign w:val="center"/>
            <w:hideMark/>
          </w:tcPr>
          <w:p w:rsidR="00ED2CE5" w:rsidRPr="00025B12" w:rsidRDefault="00397185" w:rsidP="00397185">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III.1.1</w:t>
            </w:r>
            <w:r w:rsidRPr="00025B12">
              <w:rPr>
                <w:rFonts w:ascii="Verdana" w:eastAsia="Times New Roman" w:hAnsi="Verdana"/>
                <w:bCs/>
                <w:color w:val="000000"/>
                <w:sz w:val="18"/>
                <w:szCs w:val="18"/>
                <w:lang w:eastAsia="cs-CZ"/>
              </w:rPr>
              <w:tab/>
              <w:t>Nabídka dalšího formálního vzdělání vztažená ke struktuře zaměstnanosti</w:t>
            </w:r>
          </w:p>
        </w:tc>
        <w:tc>
          <w:tcPr>
            <w:tcW w:w="4606" w:type="dxa"/>
            <w:vAlign w:val="center"/>
          </w:tcPr>
          <w:p w:rsidR="00ED2CE5" w:rsidRPr="00025B12" w:rsidRDefault="00397185" w:rsidP="00FA0F63">
            <w:pPr>
              <w:spacing w:after="0" w:line="240" w:lineRule="auto"/>
              <w:ind w:left="356" w:hanging="356"/>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III.1.d1</w:t>
            </w:r>
            <w:r w:rsidR="00FA0F63">
              <w:rPr>
                <w:rFonts w:ascii="Verdana" w:eastAsia="Times New Roman" w:hAnsi="Verdana"/>
                <w:bCs/>
                <w:color w:val="000000"/>
                <w:sz w:val="18"/>
                <w:szCs w:val="18"/>
                <w:lang w:eastAsia="cs-CZ"/>
              </w:rPr>
              <w:t xml:space="preserve"> </w:t>
            </w:r>
            <w:r w:rsidRPr="00025B12">
              <w:rPr>
                <w:rFonts w:ascii="Verdana" w:eastAsia="Times New Roman" w:hAnsi="Verdana"/>
                <w:bCs/>
                <w:color w:val="000000"/>
                <w:sz w:val="18"/>
                <w:szCs w:val="18"/>
                <w:lang w:eastAsia="cs-CZ"/>
              </w:rPr>
              <w:t>Počet škol a kapacita programů nabízející</w:t>
            </w:r>
            <w:r w:rsidR="00FA0F63">
              <w:rPr>
                <w:rFonts w:ascii="Verdana" w:eastAsia="Times New Roman" w:hAnsi="Verdana"/>
                <w:bCs/>
                <w:color w:val="000000"/>
                <w:sz w:val="18"/>
                <w:szCs w:val="18"/>
                <w:lang w:eastAsia="cs-CZ"/>
              </w:rPr>
              <w:t>ch</w:t>
            </w:r>
            <w:r w:rsidRPr="00025B12">
              <w:rPr>
                <w:rFonts w:ascii="Verdana" w:eastAsia="Times New Roman" w:hAnsi="Verdana"/>
                <w:bCs/>
                <w:color w:val="000000"/>
                <w:sz w:val="18"/>
                <w:szCs w:val="18"/>
                <w:lang w:eastAsia="cs-CZ"/>
              </w:rPr>
              <w:t xml:space="preserve"> vzdělání v jiné než denní formě</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III.2  Nabídka neformálního DV</w:t>
            </w:r>
          </w:p>
        </w:tc>
      </w:tr>
      <w:tr w:rsidR="00ED2CE5" w:rsidRPr="00025B12" w:rsidTr="007C36F7">
        <w:trPr>
          <w:trHeight w:val="20"/>
        </w:trPr>
        <w:tc>
          <w:tcPr>
            <w:tcW w:w="4606" w:type="dxa"/>
            <w:noWrap/>
            <w:vAlign w:val="center"/>
            <w:hideMark/>
          </w:tcPr>
          <w:p w:rsidR="00397185" w:rsidRPr="00025B12" w:rsidRDefault="00397185" w:rsidP="00397185">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III.2.1</w:t>
            </w:r>
            <w:r w:rsidRPr="00025B12">
              <w:rPr>
                <w:rFonts w:ascii="Verdana" w:eastAsia="Times New Roman" w:hAnsi="Verdana"/>
                <w:bCs/>
                <w:color w:val="000000"/>
                <w:sz w:val="18"/>
                <w:szCs w:val="18"/>
                <w:lang w:eastAsia="cs-CZ"/>
              </w:rPr>
              <w:tab/>
              <w:t>Kapacita nabízených kurzů podle obsahového zaměření</w:t>
            </w:r>
          </w:p>
          <w:p w:rsidR="00ED2CE5" w:rsidRPr="00025B12" w:rsidRDefault="00397185" w:rsidP="00397185">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III.2.2</w:t>
            </w:r>
            <w:r w:rsidRPr="00025B12">
              <w:rPr>
                <w:rFonts w:ascii="Verdana" w:eastAsia="Times New Roman" w:hAnsi="Verdana"/>
                <w:bCs/>
                <w:color w:val="000000"/>
                <w:sz w:val="18"/>
                <w:szCs w:val="18"/>
                <w:lang w:eastAsia="cs-CZ"/>
              </w:rPr>
              <w:tab/>
            </w:r>
            <w:r w:rsidR="006A6EF9" w:rsidRPr="006A6EF9">
              <w:rPr>
                <w:rFonts w:ascii="Verdana" w:eastAsia="Times New Roman" w:hAnsi="Verdana"/>
                <w:bCs/>
                <w:color w:val="000000"/>
                <w:sz w:val="18"/>
                <w:szCs w:val="18"/>
                <w:lang w:eastAsia="cs-CZ"/>
              </w:rPr>
              <w:t>Srovnání struktury nabídky profesních kurzů a struktury volných pracovních míst</w:t>
            </w:r>
          </w:p>
        </w:tc>
        <w:tc>
          <w:tcPr>
            <w:tcW w:w="4606" w:type="dxa"/>
            <w:vAlign w:val="center"/>
          </w:tcPr>
          <w:p w:rsidR="00397185" w:rsidRPr="00025B12" w:rsidRDefault="00397185" w:rsidP="00397185">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III.2.d1</w:t>
            </w:r>
            <w:r w:rsidRPr="00025B12">
              <w:rPr>
                <w:rFonts w:ascii="Verdana" w:eastAsia="Times New Roman" w:hAnsi="Verdana"/>
                <w:bCs/>
                <w:color w:val="000000"/>
                <w:sz w:val="18"/>
                <w:szCs w:val="18"/>
                <w:lang w:eastAsia="cs-CZ"/>
              </w:rPr>
              <w:tab/>
              <w:t xml:space="preserve"> Počty nabízených kurzů podle obsahového zaměření</w:t>
            </w:r>
          </w:p>
          <w:p w:rsidR="00397185" w:rsidRPr="00025B12" w:rsidRDefault="00397185" w:rsidP="00397185">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III.2.d2</w:t>
            </w:r>
            <w:r w:rsidRPr="00025B12">
              <w:rPr>
                <w:rFonts w:ascii="Verdana" w:eastAsia="Times New Roman" w:hAnsi="Verdana"/>
                <w:bCs/>
                <w:color w:val="000000"/>
                <w:sz w:val="18"/>
                <w:szCs w:val="18"/>
                <w:lang w:eastAsia="cs-CZ"/>
              </w:rPr>
              <w:tab/>
              <w:t xml:space="preserve"> Srovnání struktury nabídky dalšího vzdělávání a struktury zaměstnanosti</w:t>
            </w:r>
          </w:p>
          <w:p w:rsidR="00397185" w:rsidRPr="00025B12" w:rsidRDefault="00397185" w:rsidP="00397185">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III.2.d3</w:t>
            </w:r>
            <w:r w:rsidRPr="00025B12">
              <w:rPr>
                <w:rFonts w:ascii="Verdana" w:eastAsia="Times New Roman" w:hAnsi="Verdana"/>
                <w:bCs/>
                <w:color w:val="000000"/>
                <w:sz w:val="18"/>
                <w:szCs w:val="18"/>
                <w:lang w:eastAsia="cs-CZ"/>
              </w:rPr>
              <w:tab/>
              <w:t xml:space="preserve"> Akreditované kurzy dalšího vzdělávání</w:t>
            </w:r>
          </w:p>
          <w:p w:rsidR="00ED2CE5" w:rsidRPr="00025B12" w:rsidRDefault="00397185" w:rsidP="00397185">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III.2.d4</w:t>
            </w:r>
            <w:r w:rsidRPr="00025B12">
              <w:rPr>
                <w:rFonts w:ascii="Verdana" w:eastAsia="Times New Roman" w:hAnsi="Verdana"/>
                <w:bCs/>
                <w:color w:val="000000"/>
                <w:sz w:val="18"/>
                <w:szCs w:val="18"/>
                <w:lang w:eastAsia="cs-CZ"/>
              </w:rPr>
              <w:tab/>
              <w:t xml:space="preserve"> Podíl aktuálně nabízených rekvalifikačních kurzů na všech akreditovaných</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III.3  Vzdělávací politika podniků</w:t>
            </w:r>
          </w:p>
        </w:tc>
      </w:tr>
      <w:tr w:rsidR="00ED2CE5" w:rsidRPr="00025B12" w:rsidTr="007C36F7">
        <w:trPr>
          <w:trHeight w:val="20"/>
        </w:trPr>
        <w:tc>
          <w:tcPr>
            <w:tcW w:w="4606" w:type="dxa"/>
            <w:noWrap/>
            <w:vAlign w:val="center"/>
            <w:hideMark/>
          </w:tcPr>
          <w:p w:rsidR="00ED2CE5" w:rsidRPr="00025B12" w:rsidRDefault="00397185" w:rsidP="00397185">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III.3.1</w:t>
            </w:r>
            <w:r w:rsidRPr="00025B12">
              <w:rPr>
                <w:rFonts w:ascii="Verdana" w:eastAsia="Times New Roman" w:hAnsi="Verdana"/>
                <w:bCs/>
                <w:color w:val="000000"/>
                <w:sz w:val="18"/>
                <w:szCs w:val="18"/>
                <w:lang w:eastAsia="cs-CZ"/>
              </w:rPr>
              <w:tab/>
              <w:t>Strategie podniků při chybějících dovednostech</w:t>
            </w:r>
          </w:p>
        </w:tc>
        <w:tc>
          <w:tcPr>
            <w:tcW w:w="4606" w:type="dxa"/>
            <w:vAlign w:val="center"/>
          </w:tcPr>
          <w:p w:rsidR="00397185" w:rsidRPr="00025B12" w:rsidRDefault="00397185" w:rsidP="00397185">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III.3.d1</w:t>
            </w:r>
            <w:r w:rsidRPr="00025B12">
              <w:rPr>
                <w:rFonts w:ascii="Verdana" w:eastAsia="Times New Roman" w:hAnsi="Verdana"/>
                <w:bCs/>
                <w:color w:val="000000"/>
                <w:sz w:val="18"/>
                <w:szCs w:val="18"/>
                <w:lang w:eastAsia="cs-CZ"/>
              </w:rPr>
              <w:tab/>
              <w:t xml:space="preserve"> Vyhodnocování vzdělávacích potřeb podniku</w:t>
            </w:r>
          </w:p>
          <w:p w:rsidR="00ED2CE5" w:rsidRPr="00025B12" w:rsidRDefault="00397185" w:rsidP="00397185">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III.3.d2</w:t>
            </w:r>
            <w:r w:rsidRPr="00025B12">
              <w:rPr>
                <w:rFonts w:ascii="Verdana" w:eastAsia="Times New Roman" w:hAnsi="Verdana"/>
                <w:bCs/>
                <w:color w:val="000000"/>
                <w:sz w:val="18"/>
                <w:szCs w:val="18"/>
                <w:lang w:eastAsia="cs-CZ"/>
              </w:rPr>
              <w:tab/>
              <w:t xml:space="preserve"> Vyhodnocování efektivity DOV</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III.4  Kvalita DV</w:t>
            </w:r>
          </w:p>
        </w:tc>
      </w:tr>
      <w:tr w:rsidR="00ED2CE5" w:rsidRPr="00025B12" w:rsidTr="007C36F7">
        <w:trPr>
          <w:trHeight w:val="20"/>
        </w:trPr>
        <w:tc>
          <w:tcPr>
            <w:tcW w:w="4606" w:type="dxa"/>
            <w:noWrap/>
            <w:vAlign w:val="center"/>
            <w:hideMark/>
          </w:tcPr>
          <w:p w:rsidR="00ED2CE5" w:rsidRPr="00025B12" w:rsidRDefault="00397185" w:rsidP="00397185">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w:t>
            </w:r>
          </w:p>
        </w:tc>
        <w:tc>
          <w:tcPr>
            <w:tcW w:w="4606" w:type="dxa"/>
            <w:vAlign w:val="center"/>
          </w:tcPr>
          <w:p w:rsidR="00ED2CE5" w:rsidRPr="00025B12" w:rsidRDefault="00397185" w:rsidP="00397185">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III.4.d1</w:t>
            </w:r>
            <w:r w:rsidRPr="00025B12">
              <w:rPr>
                <w:rFonts w:ascii="Verdana" w:eastAsia="Times New Roman" w:hAnsi="Verdana"/>
                <w:bCs/>
                <w:color w:val="000000"/>
                <w:sz w:val="18"/>
                <w:szCs w:val="18"/>
                <w:lang w:eastAsia="cs-CZ"/>
              </w:rPr>
              <w:tab/>
              <w:t xml:space="preserve"> Výsledky ratingu vzdělávacích institucí</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III.5  Bariéry účasti na DV</w:t>
            </w:r>
          </w:p>
        </w:tc>
      </w:tr>
      <w:tr w:rsidR="00ED2CE5" w:rsidRPr="00025B12" w:rsidTr="007C36F7">
        <w:trPr>
          <w:trHeight w:val="20"/>
        </w:trPr>
        <w:tc>
          <w:tcPr>
            <w:tcW w:w="4606" w:type="dxa"/>
            <w:noWrap/>
            <w:vAlign w:val="center"/>
            <w:hideMark/>
          </w:tcPr>
          <w:p w:rsidR="004D338D" w:rsidRPr="00025B12" w:rsidRDefault="004D338D" w:rsidP="004D338D">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III.5.1</w:t>
            </w:r>
            <w:r w:rsidRPr="00025B12">
              <w:rPr>
                <w:rFonts w:ascii="Verdana" w:eastAsia="Times New Roman" w:hAnsi="Verdana"/>
                <w:bCs/>
                <w:color w:val="000000"/>
                <w:sz w:val="18"/>
                <w:szCs w:val="18"/>
                <w:lang w:eastAsia="cs-CZ"/>
              </w:rPr>
              <w:tab/>
              <w:t>Podíl osob s neuspokojenou potřebou vzdělávání</w:t>
            </w:r>
          </w:p>
          <w:p w:rsidR="00ED2CE5" w:rsidRPr="00025B12" w:rsidRDefault="004D338D" w:rsidP="004D338D">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III.5.2</w:t>
            </w:r>
            <w:r w:rsidRPr="00025B12">
              <w:rPr>
                <w:rFonts w:ascii="Verdana" w:eastAsia="Times New Roman" w:hAnsi="Verdana"/>
                <w:bCs/>
                <w:color w:val="000000"/>
                <w:sz w:val="18"/>
                <w:szCs w:val="18"/>
                <w:lang w:eastAsia="cs-CZ"/>
              </w:rPr>
              <w:tab/>
              <w:t xml:space="preserve">Typy bariér v účasti na dalším vzdělávání </w:t>
            </w:r>
          </w:p>
        </w:tc>
        <w:tc>
          <w:tcPr>
            <w:tcW w:w="4606" w:type="dxa"/>
            <w:vAlign w:val="center"/>
          </w:tcPr>
          <w:p w:rsidR="004D338D" w:rsidRPr="00025B12" w:rsidRDefault="004D338D" w:rsidP="004D338D">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III.5.d1</w:t>
            </w:r>
            <w:r w:rsidRPr="00025B12">
              <w:rPr>
                <w:rFonts w:ascii="Verdana" w:eastAsia="Times New Roman" w:hAnsi="Verdana"/>
                <w:bCs/>
                <w:color w:val="000000"/>
                <w:sz w:val="18"/>
                <w:szCs w:val="18"/>
                <w:lang w:eastAsia="cs-CZ"/>
              </w:rPr>
              <w:tab/>
              <w:t xml:space="preserve"> Podíl podniků, které vůbec nevzdělávají</w:t>
            </w:r>
          </w:p>
          <w:p w:rsidR="00ED2CE5" w:rsidRPr="00025B12" w:rsidRDefault="004D338D" w:rsidP="004D338D">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III.5.d2</w:t>
            </w:r>
            <w:r w:rsidRPr="00025B12">
              <w:rPr>
                <w:rFonts w:ascii="Verdana" w:eastAsia="Times New Roman" w:hAnsi="Verdana"/>
                <w:bCs/>
                <w:color w:val="000000"/>
                <w:sz w:val="18"/>
                <w:szCs w:val="18"/>
                <w:lang w:eastAsia="cs-CZ"/>
              </w:rPr>
              <w:tab/>
              <w:t xml:space="preserve"> Důvody neposkytování vzdělávání v podnicích</w:t>
            </w:r>
          </w:p>
        </w:tc>
      </w:tr>
      <w:tr w:rsidR="0018169D" w:rsidRPr="00025B12" w:rsidTr="007C36F7">
        <w:trPr>
          <w:trHeight w:val="20"/>
        </w:trPr>
        <w:tc>
          <w:tcPr>
            <w:tcW w:w="9212" w:type="dxa"/>
            <w:gridSpan w:val="2"/>
            <w:shd w:val="clear" w:color="auto" w:fill="663399"/>
            <w:vAlign w:val="center"/>
          </w:tcPr>
          <w:p w:rsidR="0018169D" w:rsidRPr="00025B12" w:rsidRDefault="0018169D" w:rsidP="007C36F7">
            <w:pPr>
              <w:spacing w:after="0" w:line="240" w:lineRule="auto"/>
              <w:rPr>
                <w:rFonts w:ascii="Verdana" w:hAnsi="Verdana"/>
                <w:sz w:val="20"/>
                <w:szCs w:val="20"/>
              </w:rPr>
            </w:pPr>
            <w:r w:rsidRPr="00025B12">
              <w:rPr>
                <w:rFonts w:ascii="Verdana" w:hAnsi="Verdana"/>
                <w:b/>
                <w:color w:val="FFFFFF" w:themeColor="background1"/>
                <w:sz w:val="24"/>
                <w:szCs w:val="24"/>
              </w:rPr>
              <w:t>I</w:t>
            </w:r>
            <w:r w:rsidR="009E1D2C" w:rsidRPr="00025B12">
              <w:rPr>
                <w:rFonts w:ascii="Verdana" w:hAnsi="Verdana"/>
                <w:b/>
                <w:color w:val="FFFFFF" w:themeColor="background1"/>
                <w:sz w:val="24"/>
                <w:szCs w:val="24"/>
              </w:rPr>
              <w:t>V</w:t>
            </w:r>
            <w:r w:rsidRPr="00025B12">
              <w:rPr>
                <w:rFonts w:ascii="Verdana" w:hAnsi="Verdana"/>
                <w:b/>
                <w:color w:val="FFFFFF" w:themeColor="background1"/>
                <w:sz w:val="24"/>
                <w:szCs w:val="24"/>
              </w:rPr>
              <w:t>. Výstupy</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IV.0  Účast dospělých na dalším vzdělávání</w:t>
            </w:r>
          </w:p>
        </w:tc>
      </w:tr>
      <w:tr w:rsidR="00ED2CE5" w:rsidRPr="00025B12" w:rsidTr="007C36F7">
        <w:trPr>
          <w:trHeight w:val="20"/>
        </w:trPr>
        <w:tc>
          <w:tcPr>
            <w:tcW w:w="4606" w:type="dxa"/>
            <w:noWrap/>
            <w:vAlign w:val="center"/>
            <w:hideMark/>
          </w:tcPr>
          <w:p w:rsidR="00ED2CE5"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IV.0.1</w:t>
            </w:r>
            <w:r w:rsidRPr="00025B12">
              <w:rPr>
                <w:rFonts w:ascii="Verdana" w:eastAsia="Times New Roman" w:hAnsi="Verdana"/>
                <w:bCs/>
                <w:color w:val="000000"/>
                <w:sz w:val="18"/>
                <w:szCs w:val="18"/>
                <w:lang w:eastAsia="cs-CZ"/>
              </w:rPr>
              <w:tab/>
              <w:t xml:space="preserve"> Účast dospělé populace na vzdělávání v posledních 4 týdnech </w:t>
            </w:r>
          </w:p>
        </w:tc>
        <w:tc>
          <w:tcPr>
            <w:tcW w:w="4606" w:type="dxa"/>
            <w:vAlign w:val="center"/>
          </w:tcPr>
          <w:p w:rsidR="00ED2CE5"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IV.0.d1</w:t>
            </w:r>
            <w:r w:rsidRPr="00025B12">
              <w:rPr>
                <w:rFonts w:ascii="Verdana" w:eastAsia="Times New Roman" w:hAnsi="Verdana"/>
                <w:bCs/>
                <w:color w:val="000000"/>
                <w:sz w:val="18"/>
                <w:szCs w:val="18"/>
                <w:lang w:eastAsia="cs-CZ"/>
              </w:rPr>
              <w:tab/>
              <w:t xml:space="preserve"> Účast dospělé populace na vzdělávání v posledních 12 měsících</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IV.1  Účast jednotlivců na formálním vzdělávání</w:t>
            </w:r>
          </w:p>
        </w:tc>
      </w:tr>
      <w:tr w:rsidR="00ED2CE5" w:rsidRPr="00025B12" w:rsidTr="007C36F7">
        <w:trPr>
          <w:trHeight w:val="20"/>
        </w:trPr>
        <w:tc>
          <w:tcPr>
            <w:tcW w:w="4606" w:type="dxa"/>
            <w:noWrap/>
            <w:vAlign w:val="center"/>
            <w:hideMark/>
          </w:tcPr>
          <w:p w:rsidR="00ED2CE5"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IV.1.1</w:t>
            </w:r>
            <w:r w:rsidRPr="00025B12">
              <w:rPr>
                <w:rFonts w:ascii="Verdana" w:eastAsia="Times New Roman" w:hAnsi="Verdana"/>
                <w:bCs/>
                <w:color w:val="000000"/>
                <w:sz w:val="18"/>
                <w:szCs w:val="18"/>
                <w:lang w:eastAsia="cs-CZ"/>
              </w:rPr>
              <w:tab/>
              <w:t xml:space="preserve">Účast na dálkových formách studia na různých vzdělávacích stupních </w:t>
            </w:r>
          </w:p>
        </w:tc>
        <w:tc>
          <w:tcPr>
            <w:tcW w:w="4606" w:type="dxa"/>
            <w:vAlign w:val="center"/>
          </w:tcPr>
          <w:p w:rsidR="009E1D2C"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IV.1.d1 Účast dospělé populace na formálním vzdělávání v posledních 12 měsících</w:t>
            </w:r>
          </w:p>
          <w:p w:rsidR="009E1D2C"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IV.1.d2</w:t>
            </w:r>
            <w:r w:rsidRPr="00025B12">
              <w:rPr>
                <w:rFonts w:ascii="Verdana" w:eastAsia="Times New Roman" w:hAnsi="Verdana"/>
                <w:bCs/>
                <w:color w:val="000000"/>
                <w:sz w:val="18"/>
                <w:szCs w:val="18"/>
                <w:lang w:eastAsia="cs-CZ"/>
              </w:rPr>
              <w:tab/>
              <w:t xml:space="preserve"> Počet hodin strávených účastníkem ve formálním vzdělávání v posledních 12 měsících</w:t>
            </w:r>
          </w:p>
          <w:p w:rsidR="009E1D2C"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IV.1.d3</w:t>
            </w:r>
            <w:r w:rsidRPr="00025B12">
              <w:rPr>
                <w:rFonts w:ascii="Verdana" w:eastAsia="Times New Roman" w:hAnsi="Verdana"/>
                <w:bCs/>
                <w:color w:val="000000"/>
                <w:sz w:val="18"/>
                <w:szCs w:val="18"/>
                <w:lang w:eastAsia="cs-CZ"/>
              </w:rPr>
              <w:tab/>
              <w:t xml:space="preserve"> Účast dospělé populace na formálním vzdělávání v posledních 4 týdnech</w:t>
            </w:r>
          </w:p>
          <w:p w:rsidR="00ED2CE5"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IV.1.d4</w:t>
            </w:r>
            <w:r w:rsidRPr="00025B12">
              <w:rPr>
                <w:rFonts w:ascii="Verdana" w:eastAsia="Times New Roman" w:hAnsi="Verdana"/>
                <w:bCs/>
                <w:color w:val="000000"/>
                <w:sz w:val="18"/>
                <w:szCs w:val="18"/>
                <w:lang w:eastAsia="cs-CZ"/>
              </w:rPr>
              <w:tab/>
              <w:t xml:space="preserve"> Podíl absolventů starších 30 let na všech absolventech terciárního vzdělávání</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IV.2  Účast jednotlivců na neformálním vzdělávání</w:t>
            </w:r>
          </w:p>
        </w:tc>
      </w:tr>
      <w:tr w:rsidR="00ED2CE5" w:rsidRPr="00025B12" w:rsidTr="007C36F7">
        <w:trPr>
          <w:trHeight w:val="20"/>
        </w:trPr>
        <w:tc>
          <w:tcPr>
            <w:tcW w:w="4606" w:type="dxa"/>
            <w:noWrap/>
            <w:vAlign w:val="center"/>
            <w:hideMark/>
          </w:tcPr>
          <w:p w:rsidR="009E1D2C"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IV.2.1 Účast dospělé populace na neformálním vzdělávání v posledních 4 týdnech</w:t>
            </w:r>
          </w:p>
          <w:p w:rsidR="00ED2CE5"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IV.2.2</w:t>
            </w:r>
            <w:r w:rsidRPr="00025B12">
              <w:rPr>
                <w:rFonts w:ascii="Verdana" w:eastAsia="Times New Roman" w:hAnsi="Verdana"/>
                <w:bCs/>
                <w:color w:val="000000"/>
                <w:sz w:val="18"/>
                <w:szCs w:val="18"/>
                <w:lang w:eastAsia="cs-CZ"/>
              </w:rPr>
              <w:tab/>
              <w:t xml:space="preserve"> Počet hodin strávených účastníkem v dalším neformálním vzdělávání </w:t>
            </w:r>
          </w:p>
        </w:tc>
        <w:tc>
          <w:tcPr>
            <w:tcW w:w="4606" w:type="dxa"/>
            <w:vAlign w:val="center"/>
          </w:tcPr>
          <w:p w:rsidR="009E1D2C"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IV.2.d1</w:t>
            </w:r>
            <w:r w:rsidRPr="00025B12">
              <w:rPr>
                <w:rFonts w:ascii="Verdana" w:eastAsia="Times New Roman" w:hAnsi="Verdana"/>
                <w:bCs/>
                <w:color w:val="000000"/>
                <w:sz w:val="18"/>
                <w:szCs w:val="18"/>
                <w:lang w:eastAsia="cs-CZ"/>
              </w:rPr>
              <w:tab/>
              <w:t xml:space="preserve"> Účast dospělé populace na neformálním vzdělávání v posledních 12 měsících</w:t>
            </w:r>
          </w:p>
          <w:p w:rsidR="009E1D2C"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IV.2.d2</w:t>
            </w:r>
            <w:r w:rsidRPr="00025B12">
              <w:rPr>
                <w:rFonts w:ascii="Verdana" w:eastAsia="Times New Roman" w:hAnsi="Verdana"/>
                <w:bCs/>
                <w:color w:val="000000"/>
                <w:sz w:val="18"/>
                <w:szCs w:val="18"/>
                <w:lang w:eastAsia="cs-CZ"/>
              </w:rPr>
              <w:tab/>
              <w:t xml:space="preserve"> Účast nezaměstnaných na rekvalifikacích</w:t>
            </w:r>
          </w:p>
          <w:p w:rsidR="00ED2CE5"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IV.2.d3 Účast na akreditovaných kurzech DV</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IV.3  Uznávání výsledků dalšího vzdělávání</w:t>
            </w:r>
          </w:p>
        </w:tc>
      </w:tr>
      <w:tr w:rsidR="00ED2CE5" w:rsidRPr="00025B12" w:rsidTr="007C36F7">
        <w:trPr>
          <w:trHeight w:val="20"/>
        </w:trPr>
        <w:tc>
          <w:tcPr>
            <w:tcW w:w="4606" w:type="dxa"/>
            <w:noWrap/>
            <w:vAlign w:val="center"/>
            <w:hideMark/>
          </w:tcPr>
          <w:p w:rsidR="00ED2CE5"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IV.3.1</w:t>
            </w:r>
            <w:r w:rsidRPr="00025B12">
              <w:rPr>
                <w:rFonts w:ascii="Verdana" w:eastAsia="Times New Roman" w:hAnsi="Verdana"/>
                <w:bCs/>
                <w:color w:val="000000"/>
                <w:sz w:val="18"/>
                <w:szCs w:val="18"/>
                <w:lang w:eastAsia="cs-CZ"/>
              </w:rPr>
              <w:tab/>
              <w:t xml:space="preserve"> Počty udělených kvalifikací v přepočtu na zaměstnanost v dané profesi </w:t>
            </w:r>
          </w:p>
        </w:tc>
        <w:tc>
          <w:tcPr>
            <w:tcW w:w="4606" w:type="dxa"/>
            <w:vAlign w:val="center"/>
          </w:tcPr>
          <w:p w:rsidR="009E1D2C"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IV.3.d1</w:t>
            </w:r>
            <w:r w:rsidRPr="00025B12">
              <w:rPr>
                <w:rFonts w:ascii="Verdana" w:eastAsia="Times New Roman" w:hAnsi="Verdana"/>
                <w:bCs/>
                <w:color w:val="000000"/>
                <w:sz w:val="18"/>
                <w:szCs w:val="18"/>
                <w:lang w:eastAsia="cs-CZ"/>
              </w:rPr>
              <w:tab/>
              <w:t xml:space="preserve"> Počty kvalifikací udělených v rámci uznávání výsledků dalšího vzdělávání za poslední rok</w:t>
            </w:r>
          </w:p>
          <w:p w:rsidR="00ED2CE5"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IV.3.d2</w:t>
            </w:r>
            <w:r w:rsidRPr="00025B12">
              <w:rPr>
                <w:rFonts w:ascii="Verdana" w:eastAsia="Times New Roman" w:hAnsi="Verdana"/>
                <w:bCs/>
                <w:color w:val="000000"/>
                <w:sz w:val="18"/>
                <w:szCs w:val="18"/>
                <w:lang w:eastAsia="cs-CZ"/>
              </w:rPr>
              <w:tab/>
              <w:t xml:space="preserve"> Počty složených dílčích maturitních zkoušek</w:t>
            </w:r>
          </w:p>
        </w:tc>
      </w:tr>
      <w:tr w:rsidR="00ED2CE5" w:rsidRPr="00025B12" w:rsidTr="007C36F7">
        <w:trPr>
          <w:trHeight w:val="20"/>
        </w:trPr>
        <w:tc>
          <w:tcPr>
            <w:tcW w:w="9212" w:type="dxa"/>
            <w:gridSpan w:val="2"/>
            <w:shd w:val="clear" w:color="auto" w:fill="A68048"/>
            <w:noWrap/>
            <w:vAlign w:val="center"/>
            <w:hideMark/>
          </w:tcPr>
          <w:p w:rsidR="00ED2CE5" w:rsidRPr="00025B12" w:rsidRDefault="00ED2CE5" w:rsidP="007C36F7">
            <w:pPr>
              <w:spacing w:after="0" w:line="240" w:lineRule="auto"/>
              <w:rPr>
                <w:rFonts w:ascii="Verdana" w:eastAsia="Times New Roman" w:hAnsi="Verdana"/>
                <w:bCs/>
                <w:color w:val="FFFFFF" w:themeColor="background1"/>
                <w:sz w:val="20"/>
                <w:szCs w:val="20"/>
                <w:lang w:eastAsia="cs-CZ"/>
              </w:rPr>
            </w:pPr>
            <w:r w:rsidRPr="00025B12">
              <w:rPr>
                <w:rFonts w:ascii="Verdana" w:eastAsia="Times New Roman" w:hAnsi="Verdana"/>
                <w:bCs/>
                <w:color w:val="FFFFFF" w:themeColor="background1"/>
                <w:sz w:val="20"/>
                <w:szCs w:val="20"/>
                <w:lang w:eastAsia="cs-CZ"/>
              </w:rPr>
              <w:t>IV.4  Účast na podnikovém vzdělávání</w:t>
            </w:r>
          </w:p>
        </w:tc>
      </w:tr>
      <w:tr w:rsidR="00667F27" w:rsidRPr="00025B12" w:rsidTr="007C36F7">
        <w:trPr>
          <w:trHeight w:val="20"/>
        </w:trPr>
        <w:tc>
          <w:tcPr>
            <w:tcW w:w="4606" w:type="dxa"/>
            <w:noWrap/>
            <w:vAlign w:val="center"/>
            <w:hideMark/>
          </w:tcPr>
          <w:p w:rsidR="009E1D2C"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IV.4.1</w:t>
            </w:r>
            <w:r w:rsidRPr="00025B12">
              <w:rPr>
                <w:rFonts w:ascii="Verdana" w:eastAsia="Times New Roman" w:hAnsi="Verdana"/>
                <w:bCs/>
                <w:color w:val="000000"/>
                <w:sz w:val="18"/>
                <w:szCs w:val="18"/>
                <w:lang w:eastAsia="cs-CZ"/>
              </w:rPr>
              <w:tab/>
              <w:t xml:space="preserve"> Podíl vzdělávajících podniků</w:t>
            </w:r>
          </w:p>
          <w:p w:rsidR="009E1D2C"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IV.4.2</w:t>
            </w:r>
            <w:r w:rsidRPr="00025B12">
              <w:rPr>
                <w:rFonts w:ascii="Verdana" w:eastAsia="Times New Roman" w:hAnsi="Verdana"/>
                <w:bCs/>
                <w:color w:val="000000"/>
                <w:sz w:val="18"/>
                <w:szCs w:val="18"/>
                <w:lang w:eastAsia="cs-CZ"/>
              </w:rPr>
              <w:tab/>
              <w:t xml:space="preserve"> Zaměření kurzů podnikového vzdělávání</w:t>
            </w:r>
          </w:p>
          <w:p w:rsidR="00667F27"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IV.4.3</w:t>
            </w:r>
            <w:r w:rsidRPr="00025B12">
              <w:rPr>
                <w:rFonts w:ascii="Verdana" w:eastAsia="Times New Roman" w:hAnsi="Verdana"/>
                <w:bCs/>
                <w:color w:val="000000"/>
                <w:sz w:val="18"/>
                <w:szCs w:val="18"/>
                <w:lang w:eastAsia="cs-CZ"/>
              </w:rPr>
              <w:tab/>
              <w:t xml:space="preserve"> Počet hodin strávených na kurzech na 1000 odpracovaných hodin </w:t>
            </w:r>
          </w:p>
        </w:tc>
        <w:tc>
          <w:tcPr>
            <w:tcW w:w="4606" w:type="dxa"/>
            <w:vAlign w:val="center"/>
          </w:tcPr>
          <w:p w:rsidR="009E1D2C"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IV.4.d1</w:t>
            </w:r>
            <w:r w:rsidRPr="00025B12">
              <w:rPr>
                <w:rFonts w:ascii="Verdana" w:eastAsia="Times New Roman" w:hAnsi="Verdana"/>
                <w:bCs/>
                <w:color w:val="000000"/>
                <w:sz w:val="18"/>
                <w:szCs w:val="18"/>
                <w:lang w:eastAsia="cs-CZ"/>
              </w:rPr>
              <w:tab/>
              <w:t>Podíl zaměstnanců účastnících se jednotlivých typů vzdělávání, ze všech podniků</w:t>
            </w:r>
          </w:p>
          <w:p w:rsidR="009E1D2C"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IV.4.d2</w:t>
            </w:r>
            <w:r w:rsidRPr="00025B12">
              <w:rPr>
                <w:rFonts w:ascii="Verdana" w:eastAsia="Times New Roman" w:hAnsi="Verdana"/>
                <w:bCs/>
                <w:color w:val="000000"/>
                <w:sz w:val="18"/>
                <w:szCs w:val="18"/>
                <w:lang w:eastAsia="cs-CZ"/>
              </w:rPr>
              <w:tab/>
              <w:t>Podíl zaměstnanců účastnících se jednotlivých typů vzdělávání, ze vzdělávajících podniků</w:t>
            </w:r>
          </w:p>
          <w:p w:rsidR="009E1D2C"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IV.4.d3</w:t>
            </w:r>
            <w:r w:rsidRPr="00025B12">
              <w:rPr>
                <w:rFonts w:ascii="Verdana" w:eastAsia="Times New Roman" w:hAnsi="Verdana"/>
                <w:bCs/>
                <w:color w:val="000000"/>
                <w:sz w:val="18"/>
                <w:szCs w:val="18"/>
                <w:lang w:eastAsia="cs-CZ"/>
              </w:rPr>
              <w:tab/>
              <w:t>Doba strávená v kurzech dalšího vzdělávání na účastníka</w:t>
            </w:r>
          </w:p>
          <w:p w:rsidR="00667F27" w:rsidRPr="00025B12" w:rsidRDefault="009E1D2C" w:rsidP="009E1D2C">
            <w:pPr>
              <w:spacing w:after="0" w:line="240" w:lineRule="auto"/>
              <w:ind w:left="567" w:hanging="567"/>
              <w:rPr>
                <w:rFonts w:ascii="Verdana" w:eastAsia="Times New Roman" w:hAnsi="Verdana"/>
                <w:bCs/>
                <w:color w:val="000000"/>
                <w:sz w:val="18"/>
                <w:szCs w:val="18"/>
                <w:lang w:eastAsia="cs-CZ"/>
              </w:rPr>
            </w:pPr>
            <w:r w:rsidRPr="00025B12">
              <w:rPr>
                <w:rFonts w:ascii="Verdana" w:eastAsia="Times New Roman" w:hAnsi="Verdana"/>
                <w:bCs/>
                <w:color w:val="000000"/>
                <w:sz w:val="18"/>
                <w:szCs w:val="18"/>
                <w:lang w:eastAsia="cs-CZ"/>
              </w:rPr>
              <w:t>IV.4.d4</w:t>
            </w:r>
            <w:r w:rsidRPr="00025B12">
              <w:rPr>
                <w:rFonts w:ascii="Verdana" w:eastAsia="Times New Roman" w:hAnsi="Verdana"/>
                <w:bCs/>
                <w:color w:val="000000"/>
                <w:sz w:val="18"/>
                <w:szCs w:val="18"/>
                <w:lang w:eastAsia="cs-CZ"/>
              </w:rPr>
              <w:tab/>
              <w:t>Využívání e-learningu podniky</w:t>
            </w:r>
          </w:p>
        </w:tc>
      </w:tr>
    </w:tbl>
    <w:p w:rsidR="00D27F32" w:rsidRPr="00025B12" w:rsidRDefault="00ED2A74" w:rsidP="00C53F2F">
      <w:pPr>
        <w:jc w:val="both"/>
        <w:rPr>
          <w:rFonts w:ascii="Verdana" w:hAnsi="Verdana"/>
          <w:sz w:val="20"/>
          <w:szCs w:val="20"/>
        </w:rPr>
      </w:pPr>
      <w:r w:rsidRPr="00025B12">
        <w:rPr>
          <w:rFonts w:ascii="Verdana" w:hAnsi="Verdana"/>
          <w:sz w:val="20"/>
          <w:szCs w:val="20"/>
        </w:rPr>
        <w:br w:type="page"/>
      </w:r>
    </w:p>
    <w:p w:rsidR="003D2209" w:rsidRPr="00025B12" w:rsidRDefault="00986205" w:rsidP="003D2209">
      <w:pPr>
        <w:pStyle w:val="Nadpiskonc2"/>
        <w:numPr>
          <w:ilvl w:val="1"/>
          <w:numId w:val="10"/>
        </w:numPr>
        <w:rPr>
          <w:rFonts w:ascii="Verdana" w:hAnsi="Verdana"/>
          <w:caps/>
        </w:rPr>
      </w:pPr>
      <w:bookmarkStart w:id="41" w:name="_Toc304898619"/>
      <w:bookmarkStart w:id="42" w:name="_Toc289351177"/>
      <w:bookmarkStart w:id="43" w:name="_Toc289351259"/>
      <w:bookmarkStart w:id="44" w:name="_Toc295836804"/>
      <w:r w:rsidRPr="00025B12">
        <w:rPr>
          <w:rFonts w:ascii="Verdana" w:hAnsi="Verdana"/>
          <w:caps/>
        </w:rPr>
        <w:t>popis</w:t>
      </w:r>
      <w:r w:rsidR="00BF77F1" w:rsidRPr="00025B12">
        <w:rPr>
          <w:rFonts w:ascii="Verdana" w:hAnsi="Verdana"/>
          <w:caps/>
        </w:rPr>
        <w:t xml:space="preserve"> metodiky</w:t>
      </w:r>
      <w:r w:rsidR="003D2209" w:rsidRPr="00025B12">
        <w:rPr>
          <w:rFonts w:ascii="Verdana" w:hAnsi="Verdana"/>
          <w:caps/>
        </w:rPr>
        <w:t xml:space="preserve"> jednotlivých indikátorů</w:t>
      </w:r>
      <w:bookmarkEnd w:id="41"/>
    </w:p>
    <w:p w:rsidR="003D2209" w:rsidRPr="00025B12" w:rsidRDefault="003D2209" w:rsidP="003D2209">
      <w:pPr>
        <w:pStyle w:val="Nadpiskonc2"/>
        <w:numPr>
          <w:ilvl w:val="0"/>
          <w:numId w:val="0"/>
        </w:numPr>
        <w:rPr>
          <w:rFonts w:ascii="Verdana" w:hAnsi="Verdana"/>
          <w:caps/>
        </w:rPr>
      </w:pPr>
    </w:p>
    <w:p w:rsidR="00C43089" w:rsidRPr="00025B12" w:rsidRDefault="00C43089" w:rsidP="00D131AA">
      <w:pPr>
        <w:pStyle w:val="nadkonc3"/>
        <w:numPr>
          <w:ilvl w:val="2"/>
          <w:numId w:val="10"/>
        </w:numPr>
        <w:rPr>
          <w:caps/>
        </w:rPr>
      </w:pPr>
      <w:bookmarkStart w:id="45" w:name="_Toc304898620"/>
      <w:r w:rsidRPr="00025B12">
        <w:rPr>
          <w:caps/>
        </w:rPr>
        <w:t>Kontext</w:t>
      </w:r>
      <w:bookmarkEnd w:id="42"/>
      <w:bookmarkEnd w:id="43"/>
      <w:bookmarkEnd w:id="44"/>
      <w:bookmarkEnd w:id="45"/>
    </w:p>
    <w:p w:rsidR="00C43089" w:rsidRPr="00025B12" w:rsidRDefault="00C43089" w:rsidP="00C43089">
      <w:pPr>
        <w:jc w:val="both"/>
        <w:rPr>
          <w:rFonts w:ascii="Verdana" w:hAnsi="Verdana"/>
          <w:sz w:val="20"/>
          <w:szCs w:val="20"/>
        </w:rPr>
      </w:pPr>
      <w:r w:rsidRPr="00025B12">
        <w:rPr>
          <w:rFonts w:ascii="Verdana" w:hAnsi="Verdana"/>
          <w:sz w:val="20"/>
          <w:szCs w:val="20"/>
        </w:rPr>
        <w:t>Další vzdělávání je třeba vnímat nikoli izolovaně, ale v kontextu prostředí, ve kterém je realizováno. Toto prostředí je tvořeno zejména počátečním vzděláváním, které nastavuje základní vzdělanostní strukturu populace a otevírá tak možnosti dalšího vzdělávání, dále je ovlivňováno situací na trhu práce, požadavky zaměstnavatelů na dovednosti pracovníků a legislativním a institucionálním prostředím. Další vzdělávání je tímto kontextem na jedné straně ovlivňováno, na druhé straně může účast na dalším vzdělávání tento kontext spoluutvářet. Účast na dalším vzdělávání vede ke zvyšování kvalifikace, v případě formálního vzdělávání může měnit vzdělanostní strukturu, zvyšovat zaměstnanost a inovativnost ekonomiky. Je však velmi obtížné přesně rozeznat důsledky, které přináší další vzdělávání jako takové, protože se na vytváření prostředí podílí i řada dalších procesů. Proto byly mezi kontextové indikátory začleněny charakteristiky prostředí, které na jednu stranu ovlivňují další vzdělávání, na druhé straně jsou však samy dalším vzděláváním spoluovlivňovány. Sledovány jsou následující oblasti:</w:t>
      </w:r>
    </w:p>
    <w:p w:rsidR="00C43089" w:rsidRPr="00025B12" w:rsidRDefault="00C43089" w:rsidP="00C43089">
      <w:pPr>
        <w:jc w:val="both"/>
        <w:rPr>
          <w:rFonts w:ascii="Verdana" w:hAnsi="Verdana"/>
          <w:sz w:val="20"/>
          <w:szCs w:val="20"/>
        </w:rPr>
      </w:pPr>
      <w:r w:rsidRPr="00025B12">
        <w:rPr>
          <w:rFonts w:ascii="Verdana" w:hAnsi="Verdana"/>
          <w:sz w:val="20"/>
          <w:szCs w:val="20"/>
        </w:rPr>
        <w:t>I.1 Vzdělanostní úroveň obyvatelstva</w:t>
      </w:r>
    </w:p>
    <w:p w:rsidR="00C43089" w:rsidRPr="00025B12" w:rsidRDefault="00C43089" w:rsidP="00C43089">
      <w:pPr>
        <w:jc w:val="both"/>
        <w:rPr>
          <w:rFonts w:ascii="Verdana" w:hAnsi="Verdana"/>
          <w:sz w:val="20"/>
          <w:szCs w:val="20"/>
        </w:rPr>
      </w:pPr>
      <w:r w:rsidRPr="00025B12">
        <w:rPr>
          <w:rFonts w:ascii="Verdana" w:hAnsi="Verdana"/>
          <w:sz w:val="20"/>
          <w:szCs w:val="20"/>
        </w:rPr>
        <w:t>I.2 Mzdová diferenciace podle vzdělání</w:t>
      </w:r>
    </w:p>
    <w:p w:rsidR="00C43089" w:rsidRPr="00025B12" w:rsidRDefault="00C43089" w:rsidP="00C43089">
      <w:pPr>
        <w:jc w:val="both"/>
        <w:rPr>
          <w:rFonts w:ascii="Verdana" w:hAnsi="Verdana"/>
          <w:sz w:val="20"/>
          <w:szCs w:val="20"/>
        </w:rPr>
      </w:pPr>
      <w:r w:rsidRPr="00025B12">
        <w:rPr>
          <w:rFonts w:ascii="Verdana" w:hAnsi="Verdana"/>
          <w:sz w:val="20"/>
          <w:szCs w:val="20"/>
        </w:rPr>
        <w:t>I.3 Legislativní a institucionální podpora dalšího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I.4 Situace na trhu práce</w:t>
      </w:r>
    </w:p>
    <w:p w:rsidR="00C43089" w:rsidRPr="00025B12" w:rsidRDefault="00C43089" w:rsidP="00C43089">
      <w:pPr>
        <w:jc w:val="both"/>
        <w:rPr>
          <w:rFonts w:ascii="Verdana" w:hAnsi="Verdana"/>
          <w:sz w:val="20"/>
          <w:szCs w:val="20"/>
        </w:rPr>
      </w:pPr>
      <w:r w:rsidRPr="00025B12">
        <w:rPr>
          <w:rFonts w:ascii="Verdana" w:hAnsi="Verdana"/>
          <w:sz w:val="20"/>
          <w:szCs w:val="20"/>
        </w:rPr>
        <w:t>I.5 Kompetence dospělé populace a nedostatky v dovednostech</w:t>
      </w:r>
    </w:p>
    <w:p w:rsidR="00C43089" w:rsidRPr="00025B12" w:rsidRDefault="00C43089" w:rsidP="00C43089">
      <w:pPr>
        <w:jc w:val="both"/>
        <w:rPr>
          <w:rFonts w:ascii="Verdana" w:hAnsi="Verdana"/>
          <w:sz w:val="20"/>
          <w:szCs w:val="20"/>
        </w:rPr>
      </w:pPr>
      <w:r w:rsidRPr="00025B12">
        <w:rPr>
          <w:rFonts w:ascii="Verdana" w:hAnsi="Verdana"/>
          <w:sz w:val="20"/>
          <w:szCs w:val="20"/>
        </w:rPr>
        <w:t>I.6 Inovativnost</w:t>
      </w:r>
    </w:p>
    <w:p w:rsidR="00C43089" w:rsidRPr="00025B12" w:rsidRDefault="00C43089" w:rsidP="00C43089">
      <w:pPr>
        <w:jc w:val="both"/>
        <w:rPr>
          <w:rFonts w:ascii="Verdana" w:hAnsi="Verdana"/>
          <w:sz w:val="20"/>
          <w:szCs w:val="20"/>
        </w:rPr>
      </w:pPr>
      <w:r w:rsidRPr="00025B12">
        <w:rPr>
          <w:rFonts w:ascii="Verdana" w:hAnsi="Verdana"/>
          <w:sz w:val="20"/>
          <w:szCs w:val="20"/>
        </w:rPr>
        <w:t xml:space="preserve">Dále je uveden popis jednotlivých indikátorů monitorujících situaci ve vymezených šesti oblastech. </w:t>
      </w:r>
    </w:p>
    <w:p w:rsidR="00C43089" w:rsidRPr="00025B12" w:rsidRDefault="00C43089" w:rsidP="00C43089">
      <w:pPr>
        <w:jc w:val="both"/>
        <w:rPr>
          <w:rFonts w:ascii="Verdana" w:hAnsi="Verdana"/>
          <w:sz w:val="20"/>
          <w:szCs w:val="20"/>
        </w:rPr>
      </w:pPr>
    </w:p>
    <w:p w:rsidR="00C43089" w:rsidRPr="00025B12" w:rsidRDefault="00031FC5" w:rsidP="000C6631">
      <w:pPr>
        <w:jc w:val="both"/>
        <w:outlineLvl w:val="0"/>
        <w:rPr>
          <w:rFonts w:ascii="Verdana" w:hAnsi="Verdana"/>
          <w:b/>
          <w:sz w:val="24"/>
          <w:szCs w:val="24"/>
        </w:rPr>
      </w:pPr>
      <w:r w:rsidRPr="00025B12">
        <w:rPr>
          <w:rFonts w:ascii="Verdana" w:hAnsi="Verdana"/>
          <w:b/>
          <w:sz w:val="24"/>
          <w:szCs w:val="24"/>
        </w:rPr>
        <w:br w:type="page"/>
      </w:r>
      <w:r w:rsidR="00C43089" w:rsidRPr="00025B12">
        <w:rPr>
          <w:rFonts w:ascii="Verdana" w:hAnsi="Verdana"/>
          <w:b/>
          <w:sz w:val="24"/>
          <w:szCs w:val="24"/>
        </w:rPr>
        <w:lastRenderedPageBreak/>
        <w:t>I.1 Vzdělanostní úroveň obyvatelstva</w:t>
      </w:r>
    </w:p>
    <w:p w:rsidR="00403468" w:rsidRPr="00025B12" w:rsidRDefault="00403468" w:rsidP="004034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07"/>
        <w:gridCol w:w="2276"/>
        <w:gridCol w:w="2155"/>
        <w:gridCol w:w="1667"/>
      </w:tblGrid>
      <w:tr w:rsidR="00403468" w:rsidRPr="00025B12" w:rsidTr="00A9209D">
        <w:trPr>
          <w:trHeight w:val="425"/>
        </w:trPr>
        <w:tc>
          <w:tcPr>
            <w:tcW w:w="1383" w:type="dxa"/>
            <w:tcBorders>
              <w:bottom w:val="single" w:sz="4" w:space="0" w:color="auto"/>
              <w:right w:val="single" w:sz="4" w:space="0" w:color="auto"/>
            </w:tcBorders>
            <w:shd w:val="clear" w:color="auto" w:fill="663399"/>
            <w:vAlign w:val="center"/>
          </w:tcPr>
          <w:p w:rsidR="00403468" w:rsidRPr="00025B12" w:rsidRDefault="00403468" w:rsidP="00A20506">
            <w:pPr>
              <w:pStyle w:val="Kd"/>
              <w:rPr>
                <w:sz w:val="18"/>
                <w:szCs w:val="18"/>
              </w:rPr>
            </w:pPr>
            <w:bookmarkStart w:id="46" w:name="_Toc300929673"/>
            <w:bookmarkStart w:id="47" w:name="I12"/>
            <w:r w:rsidRPr="00025B12">
              <w:rPr>
                <w:sz w:val="18"/>
                <w:szCs w:val="18"/>
              </w:rPr>
              <w:t>I.1.</w:t>
            </w:r>
            <w:bookmarkEnd w:id="46"/>
            <w:bookmarkEnd w:id="47"/>
            <w:r w:rsidR="00A20506" w:rsidRPr="00025B12">
              <w:rPr>
                <w:sz w:val="18"/>
                <w:szCs w:val="18"/>
              </w:rPr>
              <w:t>1</w:t>
            </w:r>
          </w:p>
        </w:tc>
        <w:tc>
          <w:tcPr>
            <w:tcW w:w="7905" w:type="dxa"/>
            <w:gridSpan w:val="4"/>
            <w:vMerge w:val="restart"/>
            <w:tcBorders>
              <w:top w:val="single" w:sz="4" w:space="0" w:color="auto"/>
              <w:left w:val="single" w:sz="4" w:space="0" w:color="auto"/>
              <w:right w:val="single" w:sz="4" w:space="0" w:color="auto"/>
            </w:tcBorders>
            <w:shd w:val="clear" w:color="auto" w:fill="663399"/>
            <w:vAlign w:val="center"/>
          </w:tcPr>
          <w:p w:rsidR="00403468" w:rsidRPr="00025B12" w:rsidRDefault="00403468" w:rsidP="00940374">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Podíl dospělé populace s terciárním vzděláním</w:t>
            </w:r>
          </w:p>
        </w:tc>
      </w:tr>
      <w:tr w:rsidR="00403468" w:rsidRPr="00025B12" w:rsidTr="00A9209D">
        <w:trPr>
          <w:trHeight w:val="360"/>
        </w:trPr>
        <w:tc>
          <w:tcPr>
            <w:tcW w:w="1383" w:type="dxa"/>
            <w:tcBorders>
              <w:top w:val="single" w:sz="4" w:space="0" w:color="auto"/>
              <w:bottom w:val="single" w:sz="4" w:space="0" w:color="auto"/>
              <w:right w:val="single" w:sz="4" w:space="0" w:color="auto"/>
            </w:tcBorders>
            <w:shd w:val="clear" w:color="auto" w:fill="663399"/>
            <w:vAlign w:val="center"/>
          </w:tcPr>
          <w:p w:rsidR="00403468" w:rsidRPr="00025B12" w:rsidRDefault="00615B61"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905" w:type="dxa"/>
            <w:gridSpan w:val="4"/>
            <w:vMerge/>
            <w:tcBorders>
              <w:left w:val="single" w:sz="4" w:space="0" w:color="auto"/>
              <w:bottom w:val="single" w:sz="4" w:space="0" w:color="auto"/>
              <w:right w:val="single" w:sz="4" w:space="0" w:color="auto"/>
            </w:tcBorders>
            <w:vAlign w:val="center"/>
          </w:tcPr>
          <w:p w:rsidR="00403468" w:rsidRPr="00025B12" w:rsidRDefault="00403468" w:rsidP="00A9209D">
            <w:pPr>
              <w:spacing w:after="0" w:line="240" w:lineRule="auto"/>
              <w:jc w:val="center"/>
              <w:rPr>
                <w:rFonts w:ascii="Verdana" w:eastAsiaTheme="minorHAnsi" w:hAnsi="Verdana" w:cstheme="minorBidi"/>
                <w:sz w:val="18"/>
                <w:szCs w:val="18"/>
              </w:rPr>
            </w:pPr>
          </w:p>
        </w:tc>
      </w:tr>
      <w:tr w:rsidR="00403468" w:rsidRPr="00025B12" w:rsidTr="00123CB7">
        <w:trPr>
          <w:trHeight w:val="360"/>
        </w:trPr>
        <w:tc>
          <w:tcPr>
            <w:tcW w:w="1383" w:type="dxa"/>
            <w:tcBorders>
              <w:top w:val="single" w:sz="4" w:space="0" w:color="auto"/>
              <w:bottom w:val="dotted" w:sz="4" w:space="0" w:color="auto"/>
              <w:right w:val="dotted" w:sz="4" w:space="0" w:color="auto"/>
            </w:tcBorders>
          </w:tcPr>
          <w:p w:rsidR="00403468" w:rsidRPr="00025B12" w:rsidRDefault="00403468" w:rsidP="00A9209D">
            <w:pPr>
              <w:spacing w:after="0" w:line="240" w:lineRule="auto"/>
              <w:jc w:val="center"/>
              <w:rPr>
                <w:rFonts w:ascii="Verdana" w:eastAsiaTheme="minorHAnsi" w:hAnsi="Verdana" w:cstheme="minorBidi"/>
                <w:sz w:val="18"/>
                <w:szCs w:val="18"/>
              </w:rPr>
            </w:pPr>
          </w:p>
        </w:tc>
        <w:tc>
          <w:tcPr>
            <w:tcW w:w="1807"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76"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5"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67" w:type="dxa"/>
            <w:tcBorders>
              <w:top w:val="single" w:sz="4" w:space="0" w:color="auto"/>
              <w:left w:val="dotted" w:sz="4" w:space="0" w:color="auto"/>
              <w:bottom w:val="dotted" w:sz="4" w:space="0" w:color="auto"/>
            </w:tcBorders>
            <w:vAlign w:val="center"/>
          </w:tcPr>
          <w:p w:rsidR="00403468" w:rsidRPr="00025B12" w:rsidRDefault="00403468" w:rsidP="00123CB7">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0C6631" w:rsidRPr="00025B12" w:rsidTr="00FA2704">
        <w:trPr>
          <w:trHeight w:val="360"/>
        </w:trPr>
        <w:tc>
          <w:tcPr>
            <w:tcW w:w="1383" w:type="dxa"/>
            <w:tcBorders>
              <w:top w:val="dotted" w:sz="4" w:space="0" w:color="auto"/>
              <w:bottom w:val="dotted" w:sz="4" w:space="0" w:color="auto"/>
              <w:right w:val="dotted" w:sz="4" w:space="0" w:color="auto"/>
            </w:tcBorders>
          </w:tcPr>
          <w:p w:rsidR="000C6631" w:rsidRPr="00025B12" w:rsidRDefault="000C6631"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07" w:type="dxa"/>
            <w:tcBorders>
              <w:top w:val="dotted" w:sz="4" w:space="0" w:color="auto"/>
              <w:left w:val="dotted" w:sz="4" w:space="0" w:color="auto"/>
              <w:bottom w:val="dotted" w:sz="4" w:space="0" w:color="auto"/>
              <w:right w:val="dotted" w:sz="4" w:space="0" w:color="auto"/>
            </w:tcBorders>
            <w:vAlign w:val="center"/>
          </w:tcPr>
          <w:p w:rsidR="000C6631" w:rsidRPr="00025B12" w:rsidRDefault="00665F1D" w:rsidP="000C6631">
            <w:pPr>
              <w:spacing w:after="0" w:line="240" w:lineRule="auto"/>
              <w:jc w:val="center"/>
              <w:rPr>
                <w:rFonts w:ascii="Verdana" w:eastAsiaTheme="minorHAnsi" w:hAnsi="Verdana" w:cstheme="minorBidi"/>
                <w:sz w:val="18"/>
                <w:szCs w:val="18"/>
              </w:rPr>
            </w:pPr>
            <w:hyperlink w:anchor="VŠPS" w:history="1">
              <w:r w:rsidR="000C6631"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bottom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55" w:type="dxa"/>
            <w:tcBorders>
              <w:top w:val="dotted" w:sz="4" w:space="0" w:color="auto"/>
              <w:left w:val="dotted" w:sz="4" w:space="0" w:color="auto"/>
              <w:bottom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bottom w:val="dotted" w:sz="4" w:space="0" w:color="auto"/>
            </w:tcBorders>
            <w:shd w:val="clear" w:color="auto" w:fill="auto"/>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1998</w:t>
            </w:r>
          </w:p>
        </w:tc>
      </w:tr>
      <w:tr w:rsidR="000C6631" w:rsidRPr="00025B12" w:rsidTr="00FA2704">
        <w:trPr>
          <w:trHeight w:val="360"/>
        </w:trPr>
        <w:tc>
          <w:tcPr>
            <w:tcW w:w="1383" w:type="dxa"/>
            <w:tcBorders>
              <w:top w:val="dotted" w:sz="4" w:space="0" w:color="auto"/>
              <w:bottom w:val="dotted" w:sz="4" w:space="0" w:color="auto"/>
              <w:right w:val="dotted" w:sz="4" w:space="0" w:color="auto"/>
            </w:tcBorders>
          </w:tcPr>
          <w:p w:rsidR="000C6631" w:rsidRPr="00025B12" w:rsidRDefault="000C6631"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07" w:type="dxa"/>
            <w:tcBorders>
              <w:top w:val="dotted" w:sz="4" w:space="0" w:color="auto"/>
              <w:left w:val="dotted" w:sz="4" w:space="0" w:color="auto"/>
              <w:bottom w:val="dotted" w:sz="4" w:space="0" w:color="auto"/>
              <w:right w:val="dotted" w:sz="4" w:space="0" w:color="auto"/>
            </w:tcBorders>
            <w:vAlign w:val="center"/>
          </w:tcPr>
          <w:p w:rsidR="000C6631" w:rsidRPr="00025B12" w:rsidRDefault="00665F1D" w:rsidP="000C6631">
            <w:pPr>
              <w:spacing w:after="0" w:line="240" w:lineRule="auto"/>
              <w:jc w:val="center"/>
              <w:rPr>
                <w:rFonts w:ascii="Verdana" w:eastAsiaTheme="minorHAnsi" w:hAnsi="Verdana" w:cstheme="minorBidi"/>
                <w:sz w:val="18"/>
                <w:szCs w:val="18"/>
              </w:rPr>
            </w:pPr>
            <w:hyperlink w:anchor="VŠPS" w:history="1">
              <w:r w:rsidR="000C6631"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bottom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5" w:type="dxa"/>
            <w:tcBorders>
              <w:top w:val="dotted" w:sz="4" w:space="0" w:color="auto"/>
              <w:left w:val="dotted" w:sz="4" w:space="0" w:color="auto"/>
              <w:bottom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bottom w:val="dotted" w:sz="4" w:space="0" w:color="auto"/>
            </w:tcBorders>
            <w:shd w:val="clear" w:color="auto" w:fill="auto"/>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w:t>
            </w:r>
            <w:r w:rsidR="00FA2704" w:rsidRPr="00025B12">
              <w:rPr>
                <w:rFonts w:ascii="Verdana" w:eastAsiaTheme="minorHAnsi" w:hAnsi="Verdana" w:cstheme="minorBidi"/>
                <w:sz w:val="18"/>
                <w:szCs w:val="18"/>
              </w:rPr>
              <w:t>5</w:t>
            </w:r>
          </w:p>
        </w:tc>
      </w:tr>
      <w:tr w:rsidR="000C6631" w:rsidRPr="00025B12" w:rsidTr="00FA2704">
        <w:trPr>
          <w:trHeight w:val="360"/>
        </w:trPr>
        <w:tc>
          <w:tcPr>
            <w:tcW w:w="1383" w:type="dxa"/>
            <w:tcBorders>
              <w:top w:val="dotted" w:sz="4" w:space="0" w:color="auto"/>
              <w:right w:val="dotted" w:sz="4" w:space="0" w:color="auto"/>
            </w:tcBorders>
          </w:tcPr>
          <w:p w:rsidR="000C6631" w:rsidRPr="00025B12" w:rsidRDefault="000C6631"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07" w:type="dxa"/>
            <w:tcBorders>
              <w:top w:val="dotted" w:sz="4" w:space="0" w:color="auto"/>
              <w:left w:val="dotted" w:sz="4" w:space="0" w:color="auto"/>
              <w:right w:val="dotted" w:sz="4" w:space="0" w:color="auto"/>
            </w:tcBorders>
            <w:vAlign w:val="center"/>
          </w:tcPr>
          <w:p w:rsidR="000C6631" w:rsidRPr="00025B12" w:rsidRDefault="00665F1D" w:rsidP="000C6631">
            <w:pPr>
              <w:spacing w:after="0" w:line="240" w:lineRule="auto"/>
              <w:jc w:val="center"/>
              <w:rPr>
                <w:rFonts w:ascii="Verdana" w:eastAsiaTheme="minorHAnsi" w:hAnsi="Verdana" w:cstheme="minorBidi"/>
                <w:sz w:val="18"/>
                <w:szCs w:val="18"/>
              </w:rPr>
            </w:pPr>
            <w:hyperlink w:anchor="VŠPS" w:history="1">
              <w:r w:rsidR="000C6631"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5" w:type="dxa"/>
            <w:tcBorders>
              <w:top w:val="dotted" w:sz="4" w:space="0" w:color="auto"/>
              <w:left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tcBorders>
            <w:shd w:val="clear" w:color="auto" w:fill="auto"/>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w:t>
            </w:r>
            <w:r w:rsidR="00FA2704" w:rsidRPr="00025B12">
              <w:rPr>
                <w:rFonts w:ascii="Verdana" w:eastAsiaTheme="minorHAnsi" w:hAnsi="Verdana" w:cstheme="minorBidi"/>
                <w:sz w:val="18"/>
                <w:szCs w:val="18"/>
              </w:rPr>
              <w:t>5</w:t>
            </w:r>
          </w:p>
        </w:tc>
      </w:tr>
      <w:tr w:rsidR="00403468" w:rsidRPr="00025B12" w:rsidTr="00A9209D">
        <w:trPr>
          <w:trHeight w:val="274"/>
        </w:trPr>
        <w:tc>
          <w:tcPr>
            <w:tcW w:w="7621" w:type="dxa"/>
            <w:gridSpan w:val="4"/>
            <w:shd w:val="clear" w:color="auto" w:fill="663399"/>
          </w:tcPr>
          <w:p w:rsidR="00403468" w:rsidRPr="00025B12" w:rsidRDefault="00403468" w:rsidP="00A9209D">
            <w:pPr>
              <w:spacing w:after="0" w:line="240" w:lineRule="auto"/>
              <w:jc w:val="center"/>
              <w:rPr>
                <w:rFonts w:ascii="Verdana" w:eastAsiaTheme="minorHAnsi" w:hAnsi="Verdana" w:cstheme="minorBidi"/>
                <w:sz w:val="18"/>
                <w:szCs w:val="18"/>
              </w:rPr>
            </w:pPr>
          </w:p>
        </w:tc>
        <w:tc>
          <w:tcPr>
            <w:tcW w:w="1667" w:type="dxa"/>
            <w:shd w:val="clear" w:color="auto" w:fill="663399"/>
          </w:tcPr>
          <w:p w:rsidR="00403468" w:rsidRPr="00025B12" w:rsidRDefault="00403468" w:rsidP="00A9209D">
            <w:pPr>
              <w:spacing w:after="0" w:line="240" w:lineRule="auto"/>
              <w:jc w:val="center"/>
              <w:rPr>
                <w:rFonts w:ascii="Verdana" w:eastAsiaTheme="minorHAnsi" w:hAnsi="Verdana" w:cstheme="minorBidi"/>
                <w:sz w:val="18"/>
                <w:szCs w:val="18"/>
              </w:rPr>
            </w:pPr>
          </w:p>
        </w:tc>
      </w:tr>
      <w:tr w:rsidR="00403468" w:rsidRPr="00025B12" w:rsidTr="00A9209D">
        <w:trPr>
          <w:trHeight w:val="2091"/>
        </w:trPr>
        <w:tc>
          <w:tcPr>
            <w:tcW w:w="9288" w:type="dxa"/>
            <w:gridSpan w:val="5"/>
          </w:tcPr>
          <w:p w:rsidR="00403468" w:rsidRPr="00025B12" w:rsidRDefault="0040346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03468" w:rsidRPr="00025B12" w:rsidRDefault="005832AC" w:rsidP="00A640BB">
            <w:pPr>
              <w:spacing w:before="60" w:after="120" w:line="312" w:lineRule="auto"/>
              <w:jc w:val="both"/>
              <w:rPr>
                <w:rFonts w:ascii="Verdana" w:eastAsiaTheme="minorHAnsi" w:hAnsi="Verdana" w:cstheme="minorBidi"/>
                <w:sz w:val="18"/>
                <w:szCs w:val="18"/>
              </w:rPr>
            </w:pPr>
            <w:r w:rsidRPr="00025B12">
              <w:rPr>
                <w:rFonts w:ascii="Verdana" w:eastAsiaTheme="minorHAnsi" w:hAnsi="Verdana" w:cstheme="minorBidi"/>
                <w:sz w:val="18"/>
                <w:szCs w:val="18"/>
              </w:rPr>
              <w:t>I</w:t>
            </w:r>
            <w:r w:rsidR="00403468" w:rsidRPr="00025B12">
              <w:rPr>
                <w:rFonts w:ascii="Verdana" w:eastAsiaTheme="minorHAnsi" w:hAnsi="Verdana" w:cstheme="minorBidi"/>
                <w:sz w:val="18"/>
                <w:szCs w:val="18"/>
              </w:rPr>
              <w:t xml:space="preserve">ndikátor informuje o vzdělanostní struktuře populace. Terciární vzdělání je definováno jako vzdělání na úrovni ISCED 5-6 a zahrnuje tak v českém vzdělávacím systému vyšší odborné školy včetně dokončeného studia na konzervatořích (ISCED 5B), bakalářský a magisterský stupeň vysokých škol (ISCED 5A) i doktorské studium na vysokých školách (ISCED 6). </w:t>
            </w:r>
          </w:p>
          <w:p w:rsidR="00403468" w:rsidRPr="00025B12" w:rsidRDefault="00403468" w:rsidP="00A640BB">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 xml:space="preserve">Terciárně vzdělaná populace se účastní dalšího vzdělávání významně častěji a vyžaduje také náročnější formy neformálního dalšího vzdělávání. Podíl terciárně vzdělaných ve sledované zemi či regionu tak bude významně ovlivňovat rozsah i podobu dalšího vzdělávání.  </w:t>
            </w:r>
          </w:p>
        </w:tc>
      </w:tr>
      <w:tr w:rsidR="00403468" w:rsidRPr="00025B12" w:rsidTr="00A9209D">
        <w:trPr>
          <w:trHeight w:val="1979"/>
        </w:trPr>
        <w:tc>
          <w:tcPr>
            <w:tcW w:w="9288" w:type="dxa"/>
            <w:gridSpan w:val="5"/>
          </w:tcPr>
          <w:p w:rsidR="00403468" w:rsidRPr="00025B12" w:rsidRDefault="0040346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03468" w:rsidRPr="00025B12" w:rsidRDefault="00403468" w:rsidP="00A640BB">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Indikátor je počítán jako podíl terciárně vzdělaných na populaci ve věku 25-64 let. Tato hranice však může působit v mezinárodním srovnání jisté zkreslení, neboť v různých zemích může část populace dokončovat své počáteční vysokoškolské vzdělávání až po 25. roce věku. V zemích, u kterých jsou nejčastější dlouhé magisterské vysokoškolské programy bez předcházejícího bakalářského stupně tak může indikátor dosahovat nižších hodnot. Zaváděním boloňského procesu však většina evropských zemí přechází na systém zahrnující bakalářský stupeň vysokoškolského studia, které většina populace dosáhne již před 25. rokem. Jedná se tedy o indikátor vhodný i pro mezinárodní srovnání.</w:t>
            </w:r>
          </w:p>
        </w:tc>
      </w:tr>
      <w:tr w:rsidR="00403468" w:rsidRPr="00025B12" w:rsidTr="00A9209D">
        <w:trPr>
          <w:trHeight w:val="1412"/>
        </w:trPr>
        <w:tc>
          <w:tcPr>
            <w:tcW w:w="9288" w:type="dxa"/>
            <w:gridSpan w:val="5"/>
          </w:tcPr>
          <w:p w:rsidR="00403468" w:rsidRPr="00025B12" w:rsidRDefault="0040346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03468" w:rsidRPr="00025B12" w:rsidRDefault="00403468" w:rsidP="00A9209D">
            <w:pPr>
              <w:spacing w:before="60" w:after="120" w:line="312" w:lineRule="auto"/>
              <w:rPr>
                <w:rFonts w:ascii="Verdana" w:hAnsi="Verdana"/>
                <w:sz w:val="18"/>
                <w:szCs w:val="18"/>
              </w:rPr>
            </w:pPr>
            <w:r w:rsidRPr="00025B12">
              <w:rPr>
                <w:rFonts w:ascii="Verdana" w:eastAsiaTheme="minorHAnsi" w:hAnsi="Verdana" w:cstheme="minorBidi"/>
                <w:sz w:val="18"/>
                <w:szCs w:val="18"/>
              </w:rPr>
              <w:t xml:space="preserve">Na evropské úrovni jsou data pro výpočet indikátoru přebírána z webové databáze Eurostatu, indikátor je dopočítáván z publikovaných absolutních čísel. Pro regionální srovnání </w:t>
            </w:r>
            <w:r w:rsidR="005832AC" w:rsidRPr="00025B12">
              <w:rPr>
                <w:rFonts w:ascii="Verdana" w:eastAsiaTheme="minorHAnsi" w:hAnsi="Verdana" w:cstheme="minorBidi"/>
                <w:sz w:val="18"/>
                <w:szCs w:val="18"/>
              </w:rPr>
              <w:t xml:space="preserve">v rámci ČR </w:t>
            </w:r>
            <w:r w:rsidRPr="00025B12">
              <w:rPr>
                <w:rFonts w:ascii="Verdana" w:eastAsiaTheme="minorHAnsi" w:hAnsi="Verdana" w:cstheme="minorBidi"/>
                <w:sz w:val="18"/>
                <w:szCs w:val="18"/>
              </w:rPr>
              <w:t>je výpočet proveden z mikrodatového souboru, neboť tabulky publikované na webových stránkách ČSÚ obsahují pouze informace o populaci 15+.</w:t>
            </w:r>
          </w:p>
        </w:tc>
      </w:tr>
      <w:tr w:rsidR="00403468" w:rsidRPr="00025B12" w:rsidTr="00A9209D">
        <w:trPr>
          <w:trHeight w:val="837"/>
        </w:trPr>
        <w:tc>
          <w:tcPr>
            <w:tcW w:w="9288" w:type="dxa"/>
            <w:gridSpan w:val="5"/>
          </w:tcPr>
          <w:p w:rsidR="00403468" w:rsidRPr="00025B12" w:rsidRDefault="0040346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03468" w:rsidRPr="00025B12" w:rsidRDefault="00403468" w:rsidP="00A9209D">
            <w:pPr>
              <w:spacing w:before="60" w:after="120" w:line="312" w:lineRule="auto"/>
              <w:rPr>
                <w:rFonts w:ascii="Verdana" w:eastAsiaTheme="minorHAnsi" w:hAnsi="Verdana" w:cstheme="minorBidi"/>
                <w:b/>
                <w:sz w:val="18"/>
                <w:szCs w:val="18"/>
                <w:u w:val="single"/>
              </w:rPr>
            </w:pPr>
            <w:r w:rsidRPr="00025B12">
              <w:rPr>
                <w:rFonts w:ascii="Verdana" w:eastAsiaTheme="minorHAnsi" w:hAnsi="Verdana" w:cstheme="minorBidi"/>
                <w:sz w:val="18"/>
                <w:szCs w:val="18"/>
              </w:rPr>
              <w:t>-</w:t>
            </w:r>
          </w:p>
        </w:tc>
      </w:tr>
    </w:tbl>
    <w:p w:rsidR="00403468" w:rsidRPr="00025B12" w:rsidRDefault="00403468" w:rsidP="00403468"/>
    <w:p w:rsidR="00D31DBF" w:rsidRPr="00025B12" w:rsidRDefault="00D31DBF" w:rsidP="00403468">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07"/>
        <w:gridCol w:w="2276"/>
        <w:gridCol w:w="2155"/>
        <w:gridCol w:w="1667"/>
      </w:tblGrid>
      <w:tr w:rsidR="00D31DBF" w:rsidRPr="00025B12" w:rsidTr="00D131AA">
        <w:trPr>
          <w:trHeight w:val="425"/>
        </w:trPr>
        <w:tc>
          <w:tcPr>
            <w:tcW w:w="1383" w:type="dxa"/>
            <w:tcBorders>
              <w:bottom w:val="single" w:sz="4" w:space="0" w:color="auto"/>
              <w:right w:val="single" w:sz="4" w:space="0" w:color="auto"/>
            </w:tcBorders>
            <w:shd w:val="clear" w:color="auto" w:fill="663399"/>
            <w:vAlign w:val="center"/>
          </w:tcPr>
          <w:p w:rsidR="00D31DBF" w:rsidRPr="00025B12" w:rsidRDefault="00D31DBF" w:rsidP="00D131AA">
            <w:pPr>
              <w:pStyle w:val="Kd"/>
              <w:rPr>
                <w:sz w:val="18"/>
                <w:szCs w:val="18"/>
              </w:rPr>
            </w:pPr>
            <w:bookmarkStart w:id="48" w:name="_Toc300929672"/>
            <w:bookmarkStart w:id="49" w:name="I11"/>
            <w:r w:rsidRPr="00025B12">
              <w:rPr>
                <w:sz w:val="18"/>
                <w:szCs w:val="18"/>
              </w:rPr>
              <w:t>I.1.</w:t>
            </w:r>
            <w:bookmarkEnd w:id="48"/>
            <w:bookmarkEnd w:id="49"/>
            <w:r w:rsidRPr="00025B12">
              <w:rPr>
                <w:sz w:val="18"/>
                <w:szCs w:val="18"/>
              </w:rPr>
              <w:t>2</w:t>
            </w:r>
          </w:p>
        </w:tc>
        <w:tc>
          <w:tcPr>
            <w:tcW w:w="7905" w:type="dxa"/>
            <w:gridSpan w:val="4"/>
            <w:vMerge w:val="restart"/>
            <w:tcBorders>
              <w:top w:val="single" w:sz="4" w:space="0" w:color="auto"/>
              <w:left w:val="single" w:sz="4" w:space="0" w:color="auto"/>
              <w:right w:val="single" w:sz="4" w:space="0" w:color="auto"/>
            </w:tcBorders>
            <w:shd w:val="clear" w:color="auto" w:fill="663399"/>
            <w:vAlign w:val="center"/>
          </w:tcPr>
          <w:p w:rsidR="00D31DBF" w:rsidRPr="00025B12" w:rsidRDefault="00D31DBF"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Podíl dospělé populace se středním nebo vyšším vzděláním</w:t>
            </w:r>
          </w:p>
        </w:tc>
      </w:tr>
      <w:tr w:rsidR="00D31DBF" w:rsidRPr="00025B12" w:rsidTr="00D131AA">
        <w:trPr>
          <w:trHeight w:val="360"/>
        </w:trPr>
        <w:tc>
          <w:tcPr>
            <w:tcW w:w="1383" w:type="dxa"/>
            <w:tcBorders>
              <w:top w:val="single" w:sz="4" w:space="0" w:color="auto"/>
              <w:bottom w:val="single" w:sz="4" w:space="0" w:color="auto"/>
              <w:right w:val="single" w:sz="4" w:space="0" w:color="auto"/>
            </w:tcBorders>
            <w:shd w:val="clear" w:color="auto" w:fill="663399"/>
            <w:vAlign w:val="center"/>
          </w:tcPr>
          <w:p w:rsidR="00D31DBF" w:rsidRPr="00025B12" w:rsidRDefault="00304766"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905" w:type="dxa"/>
            <w:gridSpan w:val="4"/>
            <w:vMerge/>
            <w:tcBorders>
              <w:left w:val="single" w:sz="4" w:space="0" w:color="auto"/>
              <w:bottom w:val="single" w:sz="4" w:space="0" w:color="auto"/>
              <w:right w:val="single" w:sz="4" w:space="0" w:color="auto"/>
            </w:tcBorders>
            <w:vAlign w:val="center"/>
          </w:tcPr>
          <w:p w:rsidR="00D31DBF" w:rsidRPr="00025B12" w:rsidRDefault="00D31DBF" w:rsidP="00D131AA">
            <w:pPr>
              <w:spacing w:after="0" w:line="240" w:lineRule="auto"/>
              <w:jc w:val="center"/>
              <w:rPr>
                <w:rFonts w:ascii="Verdana" w:eastAsiaTheme="minorHAnsi" w:hAnsi="Verdana" w:cstheme="minorBidi"/>
                <w:sz w:val="18"/>
                <w:szCs w:val="18"/>
              </w:rPr>
            </w:pPr>
          </w:p>
        </w:tc>
      </w:tr>
      <w:tr w:rsidR="00D31DBF" w:rsidRPr="00025B12" w:rsidTr="00123CB7">
        <w:trPr>
          <w:trHeight w:val="360"/>
        </w:trPr>
        <w:tc>
          <w:tcPr>
            <w:tcW w:w="1383" w:type="dxa"/>
            <w:tcBorders>
              <w:top w:val="single" w:sz="4" w:space="0" w:color="auto"/>
              <w:bottom w:val="dotted" w:sz="4" w:space="0" w:color="auto"/>
              <w:right w:val="dotted" w:sz="4" w:space="0" w:color="auto"/>
            </w:tcBorders>
          </w:tcPr>
          <w:p w:rsidR="00D31DBF" w:rsidRPr="00025B12" w:rsidRDefault="00D31DBF" w:rsidP="00D131AA">
            <w:pPr>
              <w:spacing w:after="0" w:line="240" w:lineRule="auto"/>
              <w:jc w:val="center"/>
              <w:rPr>
                <w:rFonts w:ascii="Verdana" w:eastAsiaTheme="minorHAnsi" w:hAnsi="Verdana" w:cstheme="minorBidi"/>
                <w:sz w:val="18"/>
                <w:szCs w:val="18"/>
              </w:rPr>
            </w:pPr>
          </w:p>
        </w:tc>
        <w:tc>
          <w:tcPr>
            <w:tcW w:w="1807" w:type="dxa"/>
            <w:tcBorders>
              <w:top w:val="single" w:sz="4" w:space="0" w:color="auto"/>
              <w:left w:val="dotted" w:sz="4" w:space="0" w:color="auto"/>
              <w:bottom w:val="dotted" w:sz="4" w:space="0" w:color="auto"/>
              <w:right w:val="dotted" w:sz="4" w:space="0" w:color="auto"/>
            </w:tcBorders>
            <w:vAlign w:val="center"/>
          </w:tcPr>
          <w:p w:rsidR="00D31DBF" w:rsidRPr="00025B12" w:rsidRDefault="00D31DBF"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76" w:type="dxa"/>
            <w:tcBorders>
              <w:top w:val="single" w:sz="4" w:space="0" w:color="auto"/>
              <w:left w:val="dotted" w:sz="4" w:space="0" w:color="auto"/>
              <w:bottom w:val="dotted" w:sz="4" w:space="0" w:color="auto"/>
              <w:right w:val="dotted" w:sz="4" w:space="0" w:color="auto"/>
            </w:tcBorders>
            <w:vAlign w:val="center"/>
          </w:tcPr>
          <w:p w:rsidR="00D31DBF" w:rsidRPr="00025B12" w:rsidRDefault="00D31DBF"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5" w:type="dxa"/>
            <w:tcBorders>
              <w:top w:val="single" w:sz="4" w:space="0" w:color="auto"/>
              <w:left w:val="dotted" w:sz="4" w:space="0" w:color="auto"/>
              <w:bottom w:val="dotted" w:sz="4" w:space="0" w:color="auto"/>
              <w:right w:val="dotted" w:sz="4" w:space="0" w:color="auto"/>
            </w:tcBorders>
            <w:vAlign w:val="center"/>
          </w:tcPr>
          <w:p w:rsidR="00D31DBF" w:rsidRPr="00025B12" w:rsidRDefault="00D31DBF"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67" w:type="dxa"/>
            <w:tcBorders>
              <w:top w:val="single" w:sz="4" w:space="0" w:color="auto"/>
              <w:left w:val="dotted" w:sz="4" w:space="0" w:color="auto"/>
              <w:bottom w:val="dotted" w:sz="4" w:space="0" w:color="auto"/>
            </w:tcBorders>
            <w:vAlign w:val="center"/>
          </w:tcPr>
          <w:p w:rsidR="00D31DBF" w:rsidRPr="00025B12" w:rsidRDefault="00D31DBF" w:rsidP="00123CB7">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D31DBF" w:rsidRPr="00025B12" w:rsidTr="00D131AA">
        <w:trPr>
          <w:trHeight w:val="360"/>
        </w:trPr>
        <w:tc>
          <w:tcPr>
            <w:tcW w:w="1383" w:type="dxa"/>
            <w:tcBorders>
              <w:top w:val="dotted" w:sz="4" w:space="0" w:color="auto"/>
              <w:bottom w:val="dotted" w:sz="4" w:space="0" w:color="auto"/>
              <w:right w:val="dotted" w:sz="4" w:space="0" w:color="auto"/>
            </w:tcBorders>
          </w:tcPr>
          <w:p w:rsidR="00D31DBF" w:rsidRPr="00025B12" w:rsidRDefault="00D31DBF"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07" w:type="dxa"/>
            <w:tcBorders>
              <w:top w:val="dotted" w:sz="4" w:space="0" w:color="auto"/>
              <w:left w:val="dotted" w:sz="4" w:space="0" w:color="auto"/>
              <w:bottom w:val="dotted" w:sz="4" w:space="0" w:color="auto"/>
              <w:right w:val="dotted" w:sz="4" w:space="0" w:color="auto"/>
            </w:tcBorders>
            <w:vAlign w:val="center"/>
          </w:tcPr>
          <w:p w:rsidR="00D31DBF" w:rsidRPr="00025B12" w:rsidRDefault="00665F1D" w:rsidP="00D131AA">
            <w:pPr>
              <w:spacing w:after="0" w:line="240" w:lineRule="auto"/>
              <w:jc w:val="center"/>
              <w:rPr>
                <w:rFonts w:ascii="Verdana" w:eastAsiaTheme="minorHAnsi" w:hAnsi="Verdana" w:cstheme="minorBidi"/>
                <w:sz w:val="18"/>
                <w:szCs w:val="18"/>
              </w:rPr>
            </w:pPr>
            <w:hyperlink w:anchor="VŠPS" w:history="1">
              <w:r w:rsidR="00D31DBF"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bottom w:val="dotted" w:sz="4" w:space="0" w:color="auto"/>
              <w:right w:val="dotted" w:sz="4" w:space="0" w:color="auto"/>
            </w:tcBorders>
            <w:vAlign w:val="center"/>
          </w:tcPr>
          <w:p w:rsidR="00D31DBF" w:rsidRPr="00025B12" w:rsidRDefault="00D31DB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55" w:type="dxa"/>
            <w:tcBorders>
              <w:top w:val="dotted" w:sz="4" w:space="0" w:color="auto"/>
              <w:left w:val="dotted" w:sz="4" w:space="0" w:color="auto"/>
              <w:bottom w:val="dotted" w:sz="4" w:space="0" w:color="auto"/>
              <w:right w:val="dotted" w:sz="4" w:space="0" w:color="auto"/>
            </w:tcBorders>
            <w:vAlign w:val="center"/>
          </w:tcPr>
          <w:p w:rsidR="00D31DBF" w:rsidRPr="00025B12" w:rsidRDefault="00D31DB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bottom w:val="dotted" w:sz="4" w:space="0" w:color="auto"/>
            </w:tcBorders>
            <w:shd w:val="clear" w:color="auto" w:fill="auto"/>
          </w:tcPr>
          <w:p w:rsidR="00D31DBF" w:rsidRPr="00025B12" w:rsidRDefault="00D31DB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1998</w:t>
            </w:r>
          </w:p>
        </w:tc>
      </w:tr>
      <w:tr w:rsidR="00D31DBF" w:rsidRPr="00025B12" w:rsidTr="00D131AA">
        <w:trPr>
          <w:trHeight w:val="360"/>
        </w:trPr>
        <w:tc>
          <w:tcPr>
            <w:tcW w:w="1383" w:type="dxa"/>
            <w:tcBorders>
              <w:top w:val="dotted" w:sz="4" w:space="0" w:color="auto"/>
              <w:bottom w:val="dotted" w:sz="4" w:space="0" w:color="auto"/>
              <w:right w:val="dotted" w:sz="4" w:space="0" w:color="auto"/>
            </w:tcBorders>
          </w:tcPr>
          <w:p w:rsidR="00D31DBF" w:rsidRPr="00025B12" w:rsidRDefault="00D31DBF"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07" w:type="dxa"/>
            <w:tcBorders>
              <w:top w:val="dotted" w:sz="4" w:space="0" w:color="auto"/>
              <w:left w:val="dotted" w:sz="4" w:space="0" w:color="auto"/>
              <w:bottom w:val="dotted" w:sz="4" w:space="0" w:color="auto"/>
              <w:right w:val="dotted" w:sz="4" w:space="0" w:color="auto"/>
            </w:tcBorders>
            <w:vAlign w:val="center"/>
          </w:tcPr>
          <w:p w:rsidR="00D31DBF" w:rsidRPr="00025B12" w:rsidRDefault="00665F1D" w:rsidP="00D131AA">
            <w:pPr>
              <w:spacing w:after="0" w:line="240" w:lineRule="auto"/>
              <w:jc w:val="center"/>
              <w:rPr>
                <w:rFonts w:ascii="Verdana" w:eastAsiaTheme="minorHAnsi" w:hAnsi="Verdana" w:cstheme="minorBidi"/>
                <w:sz w:val="18"/>
                <w:szCs w:val="18"/>
              </w:rPr>
            </w:pPr>
            <w:hyperlink w:anchor="VŠPS" w:history="1">
              <w:r w:rsidR="00D31DBF"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bottom w:val="dotted" w:sz="4" w:space="0" w:color="auto"/>
              <w:right w:val="dotted" w:sz="4" w:space="0" w:color="auto"/>
            </w:tcBorders>
            <w:vAlign w:val="center"/>
          </w:tcPr>
          <w:p w:rsidR="00D31DBF" w:rsidRPr="00025B12" w:rsidRDefault="00D31DB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5" w:type="dxa"/>
            <w:tcBorders>
              <w:top w:val="dotted" w:sz="4" w:space="0" w:color="auto"/>
              <w:left w:val="dotted" w:sz="4" w:space="0" w:color="auto"/>
              <w:bottom w:val="dotted" w:sz="4" w:space="0" w:color="auto"/>
              <w:right w:val="dotted" w:sz="4" w:space="0" w:color="auto"/>
            </w:tcBorders>
            <w:vAlign w:val="center"/>
          </w:tcPr>
          <w:p w:rsidR="00D31DBF" w:rsidRPr="00025B12" w:rsidRDefault="00D31DB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bottom w:val="dotted" w:sz="4" w:space="0" w:color="auto"/>
            </w:tcBorders>
            <w:shd w:val="clear" w:color="auto" w:fill="auto"/>
          </w:tcPr>
          <w:p w:rsidR="00D31DBF" w:rsidRPr="00025B12" w:rsidRDefault="00D31DB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1995</w:t>
            </w:r>
          </w:p>
        </w:tc>
      </w:tr>
      <w:tr w:rsidR="00D31DBF" w:rsidRPr="00025B12" w:rsidTr="00D131AA">
        <w:trPr>
          <w:trHeight w:val="360"/>
        </w:trPr>
        <w:tc>
          <w:tcPr>
            <w:tcW w:w="1383" w:type="dxa"/>
            <w:tcBorders>
              <w:top w:val="dotted" w:sz="4" w:space="0" w:color="auto"/>
              <w:right w:val="dotted" w:sz="4" w:space="0" w:color="auto"/>
            </w:tcBorders>
          </w:tcPr>
          <w:p w:rsidR="00D31DBF" w:rsidRPr="00025B12" w:rsidRDefault="00D31DBF"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07" w:type="dxa"/>
            <w:tcBorders>
              <w:top w:val="dotted" w:sz="4" w:space="0" w:color="auto"/>
              <w:left w:val="dotted" w:sz="4" w:space="0" w:color="auto"/>
              <w:right w:val="dotted" w:sz="4" w:space="0" w:color="auto"/>
            </w:tcBorders>
            <w:vAlign w:val="center"/>
          </w:tcPr>
          <w:p w:rsidR="00D31DBF" w:rsidRPr="00025B12" w:rsidRDefault="00665F1D" w:rsidP="00D131AA">
            <w:pPr>
              <w:spacing w:after="0" w:line="240" w:lineRule="auto"/>
              <w:jc w:val="center"/>
              <w:rPr>
                <w:rFonts w:ascii="Verdana" w:eastAsiaTheme="minorHAnsi" w:hAnsi="Verdana" w:cstheme="minorBidi"/>
                <w:sz w:val="18"/>
                <w:szCs w:val="18"/>
              </w:rPr>
            </w:pPr>
            <w:hyperlink w:anchor="VŠPS" w:history="1">
              <w:r w:rsidR="00D31DBF"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right w:val="dotted" w:sz="4" w:space="0" w:color="auto"/>
            </w:tcBorders>
            <w:vAlign w:val="center"/>
          </w:tcPr>
          <w:p w:rsidR="00D31DBF" w:rsidRPr="00025B12" w:rsidRDefault="00D31DB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5" w:type="dxa"/>
            <w:tcBorders>
              <w:top w:val="dotted" w:sz="4" w:space="0" w:color="auto"/>
              <w:left w:val="dotted" w:sz="4" w:space="0" w:color="auto"/>
              <w:right w:val="dotted" w:sz="4" w:space="0" w:color="auto"/>
            </w:tcBorders>
            <w:vAlign w:val="center"/>
          </w:tcPr>
          <w:p w:rsidR="00D31DBF" w:rsidRPr="00025B12" w:rsidRDefault="00D31DB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tcBorders>
            <w:shd w:val="clear" w:color="auto" w:fill="auto"/>
          </w:tcPr>
          <w:p w:rsidR="00D31DBF" w:rsidRPr="00025B12" w:rsidRDefault="00D31DB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1995</w:t>
            </w:r>
          </w:p>
        </w:tc>
      </w:tr>
      <w:tr w:rsidR="00D31DBF" w:rsidRPr="00025B12" w:rsidTr="00D131AA">
        <w:trPr>
          <w:trHeight w:val="274"/>
        </w:trPr>
        <w:tc>
          <w:tcPr>
            <w:tcW w:w="7621" w:type="dxa"/>
            <w:gridSpan w:val="4"/>
            <w:shd w:val="clear" w:color="auto" w:fill="663399"/>
          </w:tcPr>
          <w:p w:rsidR="00D31DBF" w:rsidRPr="00025B12" w:rsidRDefault="00D31DBF" w:rsidP="00D131AA">
            <w:pPr>
              <w:spacing w:after="0" w:line="240" w:lineRule="auto"/>
              <w:jc w:val="center"/>
              <w:rPr>
                <w:rFonts w:ascii="Verdana" w:eastAsiaTheme="minorHAnsi" w:hAnsi="Verdana" w:cstheme="minorBidi"/>
                <w:sz w:val="18"/>
                <w:szCs w:val="18"/>
              </w:rPr>
            </w:pPr>
          </w:p>
        </w:tc>
        <w:tc>
          <w:tcPr>
            <w:tcW w:w="1667" w:type="dxa"/>
            <w:shd w:val="clear" w:color="auto" w:fill="663399"/>
          </w:tcPr>
          <w:p w:rsidR="00D31DBF" w:rsidRPr="00025B12" w:rsidRDefault="00D31DBF" w:rsidP="00D131AA">
            <w:pPr>
              <w:spacing w:after="0" w:line="240" w:lineRule="auto"/>
              <w:jc w:val="center"/>
              <w:rPr>
                <w:rFonts w:ascii="Verdana" w:eastAsiaTheme="minorHAnsi" w:hAnsi="Verdana" w:cstheme="minorBidi"/>
                <w:sz w:val="18"/>
                <w:szCs w:val="18"/>
              </w:rPr>
            </w:pPr>
          </w:p>
        </w:tc>
      </w:tr>
      <w:tr w:rsidR="00D31DBF" w:rsidRPr="00025B12" w:rsidTr="00D131AA">
        <w:trPr>
          <w:trHeight w:val="2091"/>
        </w:trPr>
        <w:tc>
          <w:tcPr>
            <w:tcW w:w="9288" w:type="dxa"/>
            <w:gridSpan w:val="5"/>
          </w:tcPr>
          <w:p w:rsidR="00D31DBF" w:rsidRPr="00025B12" w:rsidRDefault="00D31DBF"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D31DBF" w:rsidRPr="00025B12" w:rsidRDefault="00D31DBF" w:rsidP="00A640BB">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 xml:space="preserve">Vzdělanostní úroveň populace je důležitou informací o výchozím prostředí pro další vzdělávání. Řada provedených výzkumů prokázala, že účast na dalším vzdělávání silně souvisí s již dosaženou úrovní formálního vzdělání. Vzdělanostní struktura dospělé populace tak ovlivňuje nejen míru účasti na dalším vzdělávání, ale i poptávané druhy dalšího vzdělávání (formální, neformální), ale i způsoby (formy) poskytovaného vzdělávání.  </w:t>
            </w:r>
          </w:p>
        </w:tc>
      </w:tr>
      <w:tr w:rsidR="00D31DBF" w:rsidRPr="00025B12" w:rsidTr="00D131AA">
        <w:trPr>
          <w:trHeight w:val="1979"/>
        </w:trPr>
        <w:tc>
          <w:tcPr>
            <w:tcW w:w="9288" w:type="dxa"/>
            <w:gridSpan w:val="5"/>
          </w:tcPr>
          <w:p w:rsidR="00D31DBF" w:rsidRPr="00025B12" w:rsidRDefault="00D31DBF" w:rsidP="006D0FFB">
            <w:pPr>
              <w:spacing w:before="60" w:after="120" w:line="240" w:lineRule="auto"/>
              <w:jc w:val="both"/>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D31DBF" w:rsidRPr="00025B12" w:rsidRDefault="00D31DBF" w:rsidP="006D0FFB">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Podíl dospělé populace s ukončeným středním nebo vyšším vzděláním je počítán jako podíl populace, která dosáhla vzdělání alespoň na úrovni ISCED 3 (upper-secondary</w:t>
            </w:r>
            <w:r w:rsidR="005832AC" w:rsidRPr="00025B12">
              <w:rPr>
                <w:rFonts w:ascii="Verdana" w:eastAsiaTheme="minorHAnsi" w:hAnsi="Verdana" w:cstheme="minorBidi"/>
                <w:sz w:val="18"/>
                <w:szCs w:val="18"/>
              </w:rPr>
              <w:t>)</w:t>
            </w:r>
            <w:r w:rsidRPr="00025B12">
              <w:rPr>
                <w:rFonts w:ascii="Verdana" w:eastAsiaTheme="minorHAnsi" w:hAnsi="Verdana" w:cstheme="minorBidi"/>
                <w:sz w:val="18"/>
                <w:szCs w:val="18"/>
              </w:rPr>
              <w:t xml:space="preserve"> nebo vyšší (mezinárodní klasifikace ISCED 1997), na celkové populaci ve věku 25-64 let. V českém vzdělávacím systému tomuto stupni odpovídá střední vzdělání bez maturity (ISCED 3C) i s maturitou (ISCED 3A).</w:t>
            </w:r>
          </w:p>
        </w:tc>
      </w:tr>
      <w:tr w:rsidR="00D31DBF" w:rsidRPr="00025B12" w:rsidTr="00D131AA">
        <w:trPr>
          <w:trHeight w:val="1412"/>
        </w:trPr>
        <w:tc>
          <w:tcPr>
            <w:tcW w:w="9288" w:type="dxa"/>
            <w:gridSpan w:val="5"/>
          </w:tcPr>
          <w:p w:rsidR="00D31DBF" w:rsidRPr="00025B12" w:rsidRDefault="00D31DBF"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D31DBF" w:rsidRPr="00025B12" w:rsidRDefault="00D31DBF" w:rsidP="00D131AA">
            <w:pPr>
              <w:spacing w:before="60" w:after="120" w:line="312" w:lineRule="auto"/>
              <w:rPr>
                <w:rFonts w:ascii="Verdana" w:eastAsiaTheme="minorHAnsi" w:hAnsi="Verdana" w:cstheme="minorBidi"/>
                <w:b/>
                <w:sz w:val="18"/>
                <w:szCs w:val="18"/>
                <w:u w:val="single"/>
              </w:rPr>
            </w:pPr>
            <w:r w:rsidRPr="00025B12">
              <w:rPr>
                <w:rFonts w:ascii="Verdana" w:eastAsiaTheme="minorHAnsi" w:hAnsi="Verdana" w:cstheme="minorBidi"/>
                <w:sz w:val="18"/>
                <w:szCs w:val="18"/>
              </w:rPr>
              <w:t>Pro mezinárodní šetření je indikátor v nezměněné podobě přebírán z webových stránek Eurostatu. Pro regionální srovnání je výpočet proveden z mikrodatového souboru, neboť tabulky publikované na webových stránkách ČSÚ obsahují pouze informace o populaci 15+.</w:t>
            </w:r>
          </w:p>
        </w:tc>
      </w:tr>
      <w:tr w:rsidR="00D31DBF" w:rsidRPr="00025B12" w:rsidTr="00D131AA">
        <w:trPr>
          <w:trHeight w:val="837"/>
        </w:trPr>
        <w:tc>
          <w:tcPr>
            <w:tcW w:w="9288" w:type="dxa"/>
            <w:gridSpan w:val="5"/>
          </w:tcPr>
          <w:p w:rsidR="00D31DBF" w:rsidRPr="00025B12" w:rsidRDefault="00D31DBF"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D31DBF" w:rsidRPr="00025B12" w:rsidRDefault="00D31DBF" w:rsidP="00D131AA">
            <w:pPr>
              <w:spacing w:before="60" w:after="120" w:line="312" w:lineRule="auto"/>
              <w:rPr>
                <w:rFonts w:ascii="Verdana" w:eastAsiaTheme="minorHAnsi" w:hAnsi="Verdana" w:cstheme="minorBidi"/>
                <w:b/>
                <w:sz w:val="18"/>
                <w:szCs w:val="18"/>
                <w:u w:val="single"/>
              </w:rPr>
            </w:pPr>
            <w:r w:rsidRPr="00025B12">
              <w:rPr>
                <w:rFonts w:ascii="Verdana" w:eastAsiaTheme="minorHAnsi" w:hAnsi="Verdana" w:cstheme="minorBidi"/>
                <w:sz w:val="18"/>
                <w:szCs w:val="18"/>
              </w:rPr>
              <w:t>-</w:t>
            </w:r>
          </w:p>
        </w:tc>
      </w:tr>
    </w:tbl>
    <w:p w:rsidR="00403468" w:rsidRPr="00025B12" w:rsidRDefault="00403468" w:rsidP="00403468">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07"/>
        <w:gridCol w:w="2276"/>
        <w:gridCol w:w="2155"/>
        <w:gridCol w:w="1667"/>
      </w:tblGrid>
      <w:tr w:rsidR="00403468" w:rsidRPr="00025B12" w:rsidTr="00A9209D">
        <w:trPr>
          <w:trHeight w:val="425"/>
        </w:trPr>
        <w:tc>
          <w:tcPr>
            <w:tcW w:w="1383" w:type="dxa"/>
            <w:tcBorders>
              <w:bottom w:val="single" w:sz="4" w:space="0" w:color="auto"/>
              <w:right w:val="single" w:sz="4" w:space="0" w:color="auto"/>
            </w:tcBorders>
            <w:shd w:val="clear" w:color="auto" w:fill="663399"/>
            <w:vAlign w:val="center"/>
          </w:tcPr>
          <w:p w:rsidR="00403468" w:rsidRPr="00025B12" w:rsidRDefault="00403468" w:rsidP="00A9209D">
            <w:pPr>
              <w:pStyle w:val="Kd"/>
              <w:rPr>
                <w:sz w:val="18"/>
                <w:szCs w:val="18"/>
              </w:rPr>
            </w:pPr>
            <w:bookmarkStart w:id="50" w:name="I13"/>
            <w:r w:rsidRPr="00025B12">
              <w:rPr>
                <w:sz w:val="18"/>
                <w:szCs w:val="18"/>
              </w:rPr>
              <w:t>I.1.</w:t>
            </w:r>
            <w:bookmarkEnd w:id="50"/>
            <w:r w:rsidR="00D224D1" w:rsidRPr="00025B12">
              <w:rPr>
                <w:sz w:val="18"/>
                <w:szCs w:val="18"/>
              </w:rPr>
              <w:t>d1</w:t>
            </w:r>
          </w:p>
        </w:tc>
        <w:tc>
          <w:tcPr>
            <w:tcW w:w="7905" w:type="dxa"/>
            <w:gridSpan w:val="4"/>
            <w:vMerge w:val="restart"/>
            <w:tcBorders>
              <w:top w:val="single" w:sz="4" w:space="0" w:color="auto"/>
              <w:left w:val="single" w:sz="4" w:space="0" w:color="auto"/>
              <w:right w:val="single" w:sz="4" w:space="0" w:color="auto"/>
            </w:tcBorders>
            <w:shd w:val="clear" w:color="auto" w:fill="663399"/>
            <w:vAlign w:val="center"/>
          </w:tcPr>
          <w:p w:rsidR="00403468" w:rsidRPr="00025B12" w:rsidRDefault="00403468"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Podíl dospělé populace s maturitou</w:t>
            </w:r>
          </w:p>
        </w:tc>
      </w:tr>
      <w:tr w:rsidR="00403468" w:rsidRPr="00025B12" w:rsidTr="00A9209D">
        <w:trPr>
          <w:trHeight w:val="360"/>
        </w:trPr>
        <w:tc>
          <w:tcPr>
            <w:tcW w:w="1383" w:type="dxa"/>
            <w:tcBorders>
              <w:top w:val="single" w:sz="4" w:space="0" w:color="auto"/>
              <w:bottom w:val="single" w:sz="4" w:space="0" w:color="auto"/>
              <w:right w:val="single" w:sz="4" w:space="0" w:color="auto"/>
            </w:tcBorders>
            <w:shd w:val="clear" w:color="auto" w:fill="663399"/>
            <w:vAlign w:val="center"/>
          </w:tcPr>
          <w:p w:rsidR="00403468" w:rsidRPr="00025B12" w:rsidRDefault="00304766"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905" w:type="dxa"/>
            <w:gridSpan w:val="4"/>
            <w:vMerge/>
            <w:tcBorders>
              <w:left w:val="single" w:sz="4" w:space="0" w:color="auto"/>
              <w:bottom w:val="single" w:sz="4" w:space="0" w:color="auto"/>
              <w:right w:val="single" w:sz="4" w:space="0" w:color="auto"/>
            </w:tcBorders>
            <w:vAlign w:val="center"/>
          </w:tcPr>
          <w:p w:rsidR="00403468" w:rsidRPr="00025B12" w:rsidRDefault="00403468" w:rsidP="00A9209D">
            <w:pPr>
              <w:spacing w:after="0" w:line="240" w:lineRule="auto"/>
              <w:jc w:val="center"/>
              <w:rPr>
                <w:rFonts w:ascii="Verdana" w:eastAsiaTheme="minorHAnsi" w:hAnsi="Verdana" w:cstheme="minorBidi"/>
                <w:sz w:val="18"/>
                <w:szCs w:val="18"/>
              </w:rPr>
            </w:pPr>
          </w:p>
        </w:tc>
      </w:tr>
      <w:tr w:rsidR="00403468" w:rsidRPr="00025B12" w:rsidTr="00123CB7">
        <w:trPr>
          <w:trHeight w:val="360"/>
        </w:trPr>
        <w:tc>
          <w:tcPr>
            <w:tcW w:w="1383" w:type="dxa"/>
            <w:tcBorders>
              <w:top w:val="single" w:sz="4" w:space="0" w:color="auto"/>
              <w:bottom w:val="dotted" w:sz="4" w:space="0" w:color="auto"/>
              <w:right w:val="dotted" w:sz="4" w:space="0" w:color="auto"/>
            </w:tcBorders>
          </w:tcPr>
          <w:p w:rsidR="00403468" w:rsidRPr="00025B12" w:rsidRDefault="00403468" w:rsidP="00A9209D">
            <w:pPr>
              <w:spacing w:after="0" w:line="240" w:lineRule="auto"/>
              <w:jc w:val="center"/>
              <w:rPr>
                <w:rFonts w:ascii="Verdana" w:eastAsiaTheme="minorHAnsi" w:hAnsi="Verdana" w:cstheme="minorBidi"/>
                <w:sz w:val="18"/>
                <w:szCs w:val="18"/>
              </w:rPr>
            </w:pPr>
          </w:p>
        </w:tc>
        <w:tc>
          <w:tcPr>
            <w:tcW w:w="1807"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76"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5"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67" w:type="dxa"/>
            <w:tcBorders>
              <w:top w:val="single" w:sz="4" w:space="0" w:color="auto"/>
              <w:left w:val="dotted" w:sz="4" w:space="0" w:color="auto"/>
              <w:bottom w:val="dotted" w:sz="4" w:space="0" w:color="auto"/>
            </w:tcBorders>
            <w:vAlign w:val="center"/>
          </w:tcPr>
          <w:p w:rsidR="00403468" w:rsidRPr="00025B12" w:rsidRDefault="00403468" w:rsidP="00123CB7">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03468" w:rsidRPr="00025B12" w:rsidTr="00A9209D">
        <w:trPr>
          <w:trHeight w:val="360"/>
        </w:trPr>
        <w:tc>
          <w:tcPr>
            <w:tcW w:w="1383" w:type="dxa"/>
            <w:tcBorders>
              <w:top w:val="dotted" w:sz="4" w:space="0" w:color="auto"/>
              <w:bottom w:val="dotted" w:sz="4" w:space="0" w:color="auto"/>
              <w:right w:val="dotted" w:sz="4" w:space="0" w:color="auto"/>
            </w:tcBorders>
          </w:tcPr>
          <w:p w:rsidR="00403468" w:rsidRPr="00025B12" w:rsidRDefault="0040346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07"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76"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55"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67" w:type="dxa"/>
            <w:tcBorders>
              <w:top w:val="dotted" w:sz="4" w:space="0" w:color="auto"/>
              <w:left w:val="dotted" w:sz="4" w:space="0" w:color="auto"/>
              <w:bottom w:val="dotted" w:sz="4" w:space="0" w:color="auto"/>
            </w:tcBorders>
          </w:tcPr>
          <w:p w:rsidR="00403468" w:rsidRPr="00025B12" w:rsidRDefault="0040346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0C6631" w:rsidRPr="00025B12" w:rsidTr="00A9209D">
        <w:trPr>
          <w:trHeight w:val="360"/>
        </w:trPr>
        <w:tc>
          <w:tcPr>
            <w:tcW w:w="1383" w:type="dxa"/>
            <w:tcBorders>
              <w:top w:val="dotted" w:sz="4" w:space="0" w:color="auto"/>
              <w:bottom w:val="dotted" w:sz="4" w:space="0" w:color="auto"/>
              <w:right w:val="dotted" w:sz="4" w:space="0" w:color="auto"/>
            </w:tcBorders>
          </w:tcPr>
          <w:p w:rsidR="000C6631" w:rsidRPr="00025B12" w:rsidRDefault="000C6631"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07" w:type="dxa"/>
            <w:tcBorders>
              <w:top w:val="dotted" w:sz="4" w:space="0" w:color="auto"/>
              <w:left w:val="dotted" w:sz="4" w:space="0" w:color="auto"/>
              <w:bottom w:val="dotted" w:sz="4" w:space="0" w:color="auto"/>
              <w:right w:val="dotted" w:sz="4" w:space="0" w:color="auto"/>
            </w:tcBorders>
            <w:vAlign w:val="center"/>
          </w:tcPr>
          <w:p w:rsidR="000C6631" w:rsidRPr="00025B12" w:rsidRDefault="00665F1D" w:rsidP="000C6631">
            <w:pPr>
              <w:spacing w:after="0" w:line="240" w:lineRule="auto"/>
              <w:jc w:val="center"/>
              <w:rPr>
                <w:rFonts w:ascii="Verdana" w:eastAsiaTheme="minorHAnsi" w:hAnsi="Verdana" w:cstheme="minorBidi"/>
                <w:sz w:val="18"/>
                <w:szCs w:val="18"/>
              </w:rPr>
            </w:pPr>
            <w:hyperlink w:anchor="VŠPS" w:history="1">
              <w:r w:rsidR="000C6631"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bottom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5" w:type="dxa"/>
            <w:tcBorders>
              <w:top w:val="dotted" w:sz="4" w:space="0" w:color="auto"/>
              <w:left w:val="dotted" w:sz="4" w:space="0" w:color="auto"/>
              <w:bottom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bottom w:val="dotted" w:sz="4" w:space="0" w:color="auto"/>
            </w:tcBorders>
          </w:tcPr>
          <w:p w:rsidR="000C6631" w:rsidRPr="00025B12" w:rsidRDefault="00FA2704"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1995</w:t>
            </w:r>
          </w:p>
        </w:tc>
      </w:tr>
      <w:tr w:rsidR="000C6631" w:rsidRPr="00025B12" w:rsidTr="00A9209D">
        <w:trPr>
          <w:trHeight w:val="360"/>
        </w:trPr>
        <w:tc>
          <w:tcPr>
            <w:tcW w:w="1383" w:type="dxa"/>
            <w:tcBorders>
              <w:top w:val="dotted" w:sz="4" w:space="0" w:color="auto"/>
              <w:right w:val="dotted" w:sz="4" w:space="0" w:color="auto"/>
            </w:tcBorders>
          </w:tcPr>
          <w:p w:rsidR="000C6631" w:rsidRPr="00025B12" w:rsidRDefault="000C6631"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07" w:type="dxa"/>
            <w:tcBorders>
              <w:top w:val="dotted" w:sz="4" w:space="0" w:color="auto"/>
              <w:left w:val="dotted" w:sz="4" w:space="0" w:color="auto"/>
              <w:right w:val="dotted" w:sz="4" w:space="0" w:color="auto"/>
            </w:tcBorders>
            <w:vAlign w:val="center"/>
          </w:tcPr>
          <w:p w:rsidR="000C6631" w:rsidRPr="00025B12" w:rsidRDefault="00665F1D" w:rsidP="000C6631">
            <w:pPr>
              <w:spacing w:after="0" w:line="240" w:lineRule="auto"/>
              <w:jc w:val="center"/>
              <w:rPr>
                <w:rFonts w:ascii="Verdana" w:eastAsiaTheme="minorHAnsi" w:hAnsi="Verdana" w:cstheme="minorBidi"/>
                <w:sz w:val="18"/>
                <w:szCs w:val="18"/>
              </w:rPr>
            </w:pPr>
            <w:hyperlink w:anchor="VŠPS" w:history="1">
              <w:r w:rsidR="000C6631"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5" w:type="dxa"/>
            <w:tcBorders>
              <w:top w:val="dotted" w:sz="4" w:space="0" w:color="auto"/>
              <w:left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tcBorders>
          </w:tcPr>
          <w:p w:rsidR="000C6631" w:rsidRPr="00025B12" w:rsidRDefault="00FA2704"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1995</w:t>
            </w:r>
          </w:p>
        </w:tc>
      </w:tr>
      <w:tr w:rsidR="00403468" w:rsidRPr="00025B12" w:rsidTr="00A9209D">
        <w:trPr>
          <w:trHeight w:val="274"/>
        </w:trPr>
        <w:tc>
          <w:tcPr>
            <w:tcW w:w="7621" w:type="dxa"/>
            <w:gridSpan w:val="4"/>
            <w:shd w:val="clear" w:color="auto" w:fill="663399"/>
          </w:tcPr>
          <w:p w:rsidR="00403468" w:rsidRPr="00025B12" w:rsidRDefault="00403468" w:rsidP="00A9209D">
            <w:pPr>
              <w:spacing w:after="0" w:line="240" w:lineRule="auto"/>
              <w:jc w:val="center"/>
              <w:rPr>
                <w:rFonts w:ascii="Verdana" w:eastAsiaTheme="minorHAnsi" w:hAnsi="Verdana" w:cstheme="minorBidi"/>
                <w:sz w:val="18"/>
                <w:szCs w:val="18"/>
              </w:rPr>
            </w:pPr>
          </w:p>
        </w:tc>
        <w:tc>
          <w:tcPr>
            <w:tcW w:w="1667" w:type="dxa"/>
            <w:shd w:val="clear" w:color="auto" w:fill="663399"/>
          </w:tcPr>
          <w:p w:rsidR="00403468" w:rsidRPr="00025B12" w:rsidRDefault="00403468" w:rsidP="00A9209D">
            <w:pPr>
              <w:spacing w:after="0" w:line="240" w:lineRule="auto"/>
              <w:jc w:val="center"/>
              <w:rPr>
                <w:rFonts w:ascii="Verdana" w:eastAsiaTheme="minorHAnsi" w:hAnsi="Verdana" w:cstheme="minorBidi"/>
                <w:sz w:val="18"/>
                <w:szCs w:val="18"/>
              </w:rPr>
            </w:pPr>
          </w:p>
        </w:tc>
      </w:tr>
      <w:tr w:rsidR="00403468" w:rsidRPr="00025B12" w:rsidTr="00A9209D">
        <w:trPr>
          <w:trHeight w:val="2091"/>
        </w:trPr>
        <w:tc>
          <w:tcPr>
            <w:tcW w:w="9288" w:type="dxa"/>
            <w:gridSpan w:val="5"/>
          </w:tcPr>
          <w:p w:rsidR="00403468" w:rsidRPr="00025B12" w:rsidRDefault="0040346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03468" w:rsidRPr="00025B12" w:rsidRDefault="00403468" w:rsidP="00432216">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Podíl dospělé populace s maturitou je dalším z indikátorů informujících o vzdělanostní struktuře. Jedná se indikátor specifický pro prostředí České republiky a regionálního srovnání. V mezinárodním srovnání vykazuje Česká republika velmi vysoký podíl populace se středním vzděláním (indikátor I.1.</w:t>
            </w:r>
            <w:r w:rsidR="006D0FFB" w:rsidRPr="00025B12">
              <w:rPr>
                <w:rFonts w:ascii="Verdana" w:eastAsiaTheme="minorHAnsi" w:hAnsi="Verdana" w:cstheme="minorBidi"/>
                <w:sz w:val="18"/>
                <w:szCs w:val="18"/>
              </w:rPr>
              <w:t>2</w:t>
            </w:r>
            <w:r w:rsidRPr="00025B12">
              <w:rPr>
                <w:rFonts w:ascii="Verdana" w:eastAsiaTheme="minorHAnsi" w:hAnsi="Verdana" w:cstheme="minorBidi"/>
                <w:sz w:val="18"/>
                <w:szCs w:val="18"/>
              </w:rPr>
              <w:t>), ale naopak velmi nízký podíl populace s terci</w:t>
            </w:r>
            <w:r w:rsidR="006D0FFB" w:rsidRPr="00025B12">
              <w:rPr>
                <w:rFonts w:ascii="Verdana" w:eastAsiaTheme="minorHAnsi" w:hAnsi="Verdana" w:cstheme="minorBidi"/>
                <w:sz w:val="18"/>
                <w:szCs w:val="18"/>
              </w:rPr>
              <w:t>árním vzděláním (indikátor I.1.1</w:t>
            </w:r>
            <w:r w:rsidRPr="00025B12">
              <w:rPr>
                <w:rFonts w:ascii="Verdana" w:eastAsiaTheme="minorHAnsi" w:hAnsi="Verdana" w:cstheme="minorBidi"/>
                <w:sz w:val="18"/>
                <w:szCs w:val="18"/>
              </w:rPr>
              <w:t>). I proto, že střední vzdělání má naprostá většina české populace, je třeba v národním a regionálním kontextu rozlišovat mezi vzděláním bez maturity a s maturitou. Například pro účast na dalším vzdělávání mají tyto rozdíly naprosto zásadní význam (rozdíl mezi účastí osob s maturitou a bez maturity je vyšší než mezi vysokoškoláky a lidmi s maturitou).</w:t>
            </w:r>
          </w:p>
        </w:tc>
      </w:tr>
      <w:tr w:rsidR="00403468" w:rsidRPr="00025B12" w:rsidTr="00EF267F">
        <w:trPr>
          <w:trHeight w:val="1177"/>
        </w:trPr>
        <w:tc>
          <w:tcPr>
            <w:tcW w:w="9288" w:type="dxa"/>
            <w:gridSpan w:val="5"/>
          </w:tcPr>
          <w:p w:rsidR="00403468" w:rsidRPr="00025B12" w:rsidRDefault="0040346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03468" w:rsidRPr="00025B12" w:rsidRDefault="006D0FFB" w:rsidP="00A9209D">
            <w:pPr>
              <w:spacing w:before="60" w:after="120" w:line="312" w:lineRule="auto"/>
              <w:rPr>
                <w:rFonts w:ascii="Verdana" w:eastAsiaTheme="minorHAnsi" w:hAnsi="Verdana" w:cstheme="minorBidi"/>
                <w:b/>
                <w:sz w:val="18"/>
                <w:szCs w:val="18"/>
                <w:u w:val="single"/>
              </w:rPr>
            </w:pPr>
            <w:r w:rsidRPr="00025B12">
              <w:rPr>
                <w:rFonts w:ascii="Verdana" w:eastAsiaTheme="minorHAnsi" w:hAnsi="Verdana" w:cstheme="minorBidi"/>
                <w:sz w:val="18"/>
                <w:szCs w:val="18"/>
              </w:rPr>
              <w:t>Indikátor je vypočten jako podíl populace</w:t>
            </w:r>
            <w:r w:rsidR="00EF267F" w:rsidRPr="00025B12">
              <w:rPr>
                <w:rFonts w:ascii="Verdana" w:eastAsiaTheme="minorHAnsi" w:hAnsi="Verdana" w:cstheme="minorBidi"/>
                <w:sz w:val="18"/>
                <w:szCs w:val="18"/>
              </w:rPr>
              <w:t>, která má střední vzdělání s maturitní zkouškou nebo vyšší, na populaci ve věku 25-64 let.</w:t>
            </w:r>
          </w:p>
        </w:tc>
      </w:tr>
      <w:tr w:rsidR="00403468" w:rsidRPr="00025B12" w:rsidTr="00A9209D">
        <w:trPr>
          <w:trHeight w:val="1412"/>
        </w:trPr>
        <w:tc>
          <w:tcPr>
            <w:tcW w:w="9288" w:type="dxa"/>
            <w:gridSpan w:val="5"/>
          </w:tcPr>
          <w:p w:rsidR="00403468" w:rsidRPr="00025B12" w:rsidRDefault="0040346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03468" w:rsidRPr="00025B12" w:rsidRDefault="00403468" w:rsidP="00337ED8">
            <w:pPr>
              <w:spacing w:before="60" w:after="120" w:line="312" w:lineRule="auto"/>
              <w:jc w:val="both"/>
              <w:rPr>
                <w:rFonts w:ascii="Verdana" w:hAnsi="Verdana"/>
                <w:sz w:val="18"/>
                <w:szCs w:val="18"/>
              </w:rPr>
            </w:pPr>
            <w:r w:rsidRPr="00025B12">
              <w:rPr>
                <w:rFonts w:ascii="Verdana" w:eastAsiaTheme="minorHAnsi" w:hAnsi="Verdana" w:cstheme="minorBidi"/>
                <w:sz w:val="18"/>
                <w:szCs w:val="18"/>
              </w:rPr>
              <w:t>Výpočet je v regionální struktuře proveden z mikrodatového souboru, neboť tabulky publikované na webových stránkách ČSÚ obsahují pouze informace o populaci 15+. V mezinárodním srovnání však tato data vzhledem k odlišnosti vzdělávacích systémů nejsou běžně publikována. Maturitu je možné odlišit až na základě druhého kódového místa mezinárodní klasifikace ISCED (bez maturity ISCED 3c, s maturitou ISCED 3a) a takto podrobné členění není mezinárodně publikováno.</w:t>
            </w:r>
          </w:p>
        </w:tc>
      </w:tr>
      <w:tr w:rsidR="00403468" w:rsidRPr="00025B12" w:rsidTr="00A9209D">
        <w:trPr>
          <w:trHeight w:val="837"/>
        </w:trPr>
        <w:tc>
          <w:tcPr>
            <w:tcW w:w="9288" w:type="dxa"/>
            <w:gridSpan w:val="5"/>
          </w:tcPr>
          <w:p w:rsidR="00403468" w:rsidRPr="00025B12" w:rsidRDefault="0040346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03468" w:rsidRPr="00025B12" w:rsidRDefault="00403468" w:rsidP="00A9209D">
            <w:pPr>
              <w:spacing w:before="60" w:after="120" w:line="312" w:lineRule="auto"/>
              <w:rPr>
                <w:rFonts w:ascii="Verdana" w:eastAsiaTheme="minorHAnsi" w:hAnsi="Verdana" w:cstheme="minorBidi"/>
                <w:b/>
                <w:sz w:val="18"/>
                <w:szCs w:val="18"/>
                <w:u w:val="single"/>
              </w:rPr>
            </w:pPr>
            <w:r w:rsidRPr="00025B12">
              <w:rPr>
                <w:rFonts w:ascii="Verdana" w:eastAsiaTheme="minorHAnsi" w:hAnsi="Verdana" w:cstheme="minorBidi"/>
                <w:sz w:val="18"/>
                <w:szCs w:val="18"/>
              </w:rPr>
              <w:t>-</w:t>
            </w:r>
          </w:p>
        </w:tc>
      </w:tr>
    </w:tbl>
    <w:p w:rsidR="00403468" w:rsidRPr="00025B12" w:rsidRDefault="00403468" w:rsidP="00403468"/>
    <w:p w:rsidR="00403468" w:rsidRPr="00025B12" w:rsidRDefault="00403468" w:rsidP="00403468">
      <w:r w:rsidRPr="00025B12">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07"/>
        <w:gridCol w:w="2276"/>
        <w:gridCol w:w="2155"/>
        <w:gridCol w:w="1667"/>
      </w:tblGrid>
      <w:tr w:rsidR="00403468" w:rsidRPr="00025B12" w:rsidTr="00A9209D">
        <w:trPr>
          <w:trHeight w:val="425"/>
        </w:trPr>
        <w:tc>
          <w:tcPr>
            <w:tcW w:w="1383" w:type="dxa"/>
            <w:tcBorders>
              <w:bottom w:val="single" w:sz="4" w:space="0" w:color="auto"/>
              <w:right w:val="single" w:sz="4" w:space="0" w:color="auto"/>
            </w:tcBorders>
            <w:shd w:val="clear" w:color="auto" w:fill="663399"/>
            <w:vAlign w:val="center"/>
          </w:tcPr>
          <w:p w:rsidR="00403468" w:rsidRPr="00025B12" w:rsidRDefault="00403468" w:rsidP="00A9209D">
            <w:pPr>
              <w:pStyle w:val="Kd"/>
              <w:rPr>
                <w:sz w:val="18"/>
                <w:szCs w:val="18"/>
              </w:rPr>
            </w:pPr>
            <w:r w:rsidRPr="00025B12">
              <w:rPr>
                <w:sz w:val="18"/>
                <w:szCs w:val="18"/>
              </w:rPr>
              <w:br w:type="page"/>
            </w:r>
            <w:bookmarkStart w:id="51" w:name="I14"/>
            <w:r w:rsidRPr="00025B12">
              <w:rPr>
                <w:sz w:val="18"/>
                <w:szCs w:val="18"/>
              </w:rPr>
              <w:t>I.1.</w:t>
            </w:r>
            <w:bookmarkEnd w:id="51"/>
            <w:r w:rsidR="008D36D8" w:rsidRPr="00025B12">
              <w:rPr>
                <w:sz w:val="18"/>
                <w:szCs w:val="18"/>
              </w:rPr>
              <w:t>d2</w:t>
            </w:r>
          </w:p>
        </w:tc>
        <w:tc>
          <w:tcPr>
            <w:tcW w:w="7905" w:type="dxa"/>
            <w:gridSpan w:val="4"/>
            <w:vMerge w:val="restart"/>
            <w:tcBorders>
              <w:top w:val="single" w:sz="4" w:space="0" w:color="auto"/>
              <w:left w:val="single" w:sz="4" w:space="0" w:color="auto"/>
              <w:right w:val="single" w:sz="4" w:space="0" w:color="auto"/>
            </w:tcBorders>
            <w:shd w:val="clear" w:color="auto" w:fill="663399"/>
            <w:vAlign w:val="center"/>
          </w:tcPr>
          <w:p w:rsidR="00403468" w:rsidRPr="00025B12" w:rsidRDefault="00403468"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Vzdělanostní mobilita</w:t>
            </w:r>
          </w:p>
        </w:tc>
      </w:tr>
      <w:tr w:rsidR="00403468" w:rsidRPr="00025B12" w:rsidTr="00A9209D">
        <w:trPr>
          <w:trHeight w:val="360"/>
        </w:trPr>
        <w:tc>
          <w:tcPr>
            <w:tcW w:w="1383" w:type="dxa"/>
            <w:tcBorders>
              <w:top w:val="single" w:sz="4" w:space="0" w:color="auto"/>
              <w:bottom w:val="single" w:sz="4" w:space="0" w:color="auto"/>
              <w:right w:val="single" w:sz="4" w:space="0" w:color="auto"/>
            </w:tcBorders>
            <w:shd w:val="clear" w:color="auto" w:fill="663399"/>
            <w:vAlign w:val="center"/>
          </w:tcPr>
          <w:p w:rsidR="00403468" w:rsidRPr="00025B12" w:rsidRDefault="00615B61"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905" w:type="dxa"/>
            <w:gridSpan w:val="4"/>
            <w:vMerge/>
            <w:tcBorders>
              <w:left w:val="single" w:sz="4" w:space="0" w:color="auto"/>
              <w:bottom w:val="single" w:sz="4" w:space="0" w:color="auto"/>
              <w:right w:val="single" w:sz="4" w:space="0" w:color="auto"/>
            </w:tcBorders>
            <w:vAlign w:val="center"/>
          </w:tcPr>
          <w:p w:rsidR="00403468" w:rsidRPr="00025B12" w:rsidRDefault="00403468" w:rsidP="00A9209D">
            <w:pPr>
              <w:spacing w:after="0" w:line="240" w:lineRule="auto"/>
              <w:jc w:val="center"/>
              <w:rPr>
                <w:rFonts w:ascii="Verdana" w:eastAsiaTheme="minorHAnsi" w:hAnsi="Verdana" w:cstheme="minorBidi"/>
                <w:sz w:val="18"/>
                <w:szCs w:val="18"/>
              </w:rPr>
            </w:pPr>
          </w:p>
        </w:tc>
      </w:tr>
      <w:tr w:rsidR="00403468" w:rsidRPr="00025B12" w:rsidTr="00123CB7">
        <w:trPr>
          <w:trHeight w:val="360"/>
        </w:trPr>
        <w:tc>
          <w:tcPr>
            <w:tcW w:w="1383" w:type="dxa"/>
            <w:tcBorders>
              <w:top w:val="single" w:sz="4" w:space="0" w:color="auto"/>
              <w:bottom w:val="dotted" w:sz="4" w:space="0" w:color="auto"/>
              <w:right w:val="dotted" w:sz="4" w:space="0" w:color="auto"/>
            </w:tcBorders>
          </w:tcPr>
          <w:p w:rsidR="00403468" w:rsidRPr="00025B12" w:rsidRDefault="00403468" w:rsidP="00A9209D">
            <w:pPr>
              <w:spacing w:after="0" w:line="240" w:lineRule="auto"/>
              <w:jc w:val="center"/>
              <w:rPr>
                <w:rFonts w:ascii="Verdana" w:eastAsiaTheme="minorHAnsi" w:hAnsi="Verdana" w:cstheme="minorBidi"/>
                <w:sz w:val="18"/>
                <w:szCs w:val="18"/>
              </w:rPr>
            </w:pPr>
          </w:p>
        </w:tc>
        <w:tc>
          <w:tcPr>
            <w:tcW w:w="1807"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76"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5"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67" w:type="dxa"/>
            <w:tcBorders>
              <w:top w:val="single" w:sz="4" w:space="0" w:color="auto"/>
              <w:left w:val="dotted" w:sz="4" w:space="0" w:color="auto"/>
              <w:bottom w:val="dotted" w:sz="4" w:space="0" w:color="auto"/>
            </w:tcBorders>
            <w:vAlign w:val="center"/>
          </w:tcPr>
          <w:p w:rsidR="00403468" w:rsidRPr="00025B12" w:rsidRDefault="00403468" w:rsidP="00123CB7">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0C6631" w:rsidRPr="00025B12" w:rsidTr="00901367">
        <w:trPr>
          <w:trHeight w:val="360"/>
        </w:trPr>
        <w:tc>
          <w:tcPr>
            <w:tcW w:w="1383" w:type="dxa"/>
            <w:tcBorders>
              <w:top w:val="dotted" w:sz="4" w:space="0" w:color="auto"/>
              <w:bottom w:val="dotted" w:sz="4" w:space="0" w:color="auto"/>
              <w:right w:val="dotted" w:sz="4" w:space="0" w:color="auto"/>
            </w:tcBorders>
          </w:tcPr>
          <w:p w:rsidR="000C6631" w:rsidRPr="00025B12" w:rsidRDefault="000C6631"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07" w:type="dxa"/>
            <w:tcBorders>
              <w:top w:val="dotted" w:sz="4" w:space="0" w:color="auto"/>
              <w:left w:val="dotted" w:sz="4" w:space="0" w:color="auto"/>
              <w:bottom w:val="dotted" w:sz="4" w:space="0" w:color="auto"/>
              <w:right w:val="dotted" w:sz="4" w:space="0" w:color="auto"/>
            </w:tcBorders>
            <w:vAlign w:val="center"/>
          </w:tcPr>
          <w:p w:rsidR="000C6631" w:rsidRPr="00025B12" w:rsidRDefault="00665F1D" w:rsidP="000C6631">
            <w:pPr>
              <w:spacing w:after="0" w:line="240" w:lineRule="auto"/>
              <w:jc w:val="center"/>
              <w:rPr>
                <w:rFonts w:ascii="Verdana" w:eastAsiaTheme="minorHAnsi" w:hAnsi="Verdana" w:cstheme="minorBidi"/>
                <w:sz w:val="18"/>
                <w:szCs w:val="18"/>
              </w:rPr>
            </w:pPr>
            <w:hyperlink w:anchor="VŠPS" w:history="1">
              <w:r w:rsidR="000C6631"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bottom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55" w:type="dxa"/>
            <w:tcBorders>
              <w:top w:val="dotted" w:sz="4" w:space="0" w:color="auto"/>
              <w:left w:val="dotted" w:sz="4" w:space="0" w:color="auto"/>
              <w:bottom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bottom w:val="dotted" w:sz="4" w:space="0" w:color="auto"/>
            </w:tcBorders>
            <w:shd w:val="clear" w:color="auto" w:fill="auto"/>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1998</w:t>
            </w:r>
          </w:p>
        </w:tc>
      </w:tr>
      <w:tr w:rsidR="000C6631" w:rsidRPr="00025B12" w:rsidTr="00901367">
        <w:trPr>
          <w:trHeight w:val="360"/>
        </w:trPr>
        <w:tc>
          <w:tcPr>
            <w:tcW w:w="1383" w:type="dxa"/>
            <w:tcBorders>
              <w:top w:val="dotted" w:sz="4" w:space="0" w:color="auto"/>
              <w:bottom w:val="dotted" w:sz="4" w:space="0" w:color="auto"/>
              <w:right w:val="dotted" w:sz="4" w:space="0" w:color="auto"/>
            </w:tcBorders>
          </w:tcPr>
          <w:p w:rsidR="000C6631" w:rsidRPr="00025B12" w:rsidRDefault="000C6631"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07" w:type="dxa"/>
            <w:tcBorders>
              <w:top w:val="dotted" w:sz="4" w:space="0" w:color="auto"/>
              <w:left w:val="dotted" w:sz="4" w:space="0" w:color="auto"/>
              <w:bottom w:val="dotted" w:sz="4" w:space="0" w:color="auto"/>
              <w:right w:val="dotted" w:sz="4" w:space="0" w:color="auto"/>
            </w:tcBorders>
            <w:vAlign w:val="center"/>
          </w:tcPr>
          <w:p w:rsidR="000C6631" w:rsidRPr="00025B12" w:rsidRDefault="00665F1D" w:rsidP="000C6631">
            <w:pPr>
              <w:spacing w:after="0" w:line="240" w:lineRule="auto"/>
              <w:jc w:val="center"/>
              <w:rPr>
                <w:rFonts w:ascii="Verdana" w:eastAsiaTheme="minorHAnsi" w:hAnsi="Verdana" w:cstheme="minorBidi"/>
                <w:sz w:val="18"/>
                <w:szCs w:val="18"/>
              </w:rPr>
            </w:pPr>
            <w:hyperlink w:anchor="VŠPS" w:history="1">
              <w:r w:rsidR="000C6631"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bottom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5" w:type="dxa"/>
            <w:tcBorders>
              <w:top w:val="dotted" w:sz="4" w:space="0" w:color="auto"/>
              <w:left w:val="dotted" w:sz="4" w:space="0" w:color="auto"/>
              <w:bottom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bottom w:val="dotted" w:sz="4" w:space="0" w:color="auto"/>
            </w:tcBorders>
            <w:shd w:val="clear" w:color="auto" w:fill="auto"/>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w:t>
            </w:r>
            <w:r w:rsidR="00901367" w:rsidRPr="00025B12">
              <w:rPr>
                <w:rFonts w:ascii="Verdana" w:eastAsiaTheme="minorHAnsi" w:hAnsi="Verdana" w:cstheme="minorBidi"/>
                <w:sz w:val="18"/>
                <w:szCs w:val="18"/>
              </w:rPr>
              <w:t>5</w:t>
            </w:r>
          </w:p>
        </w:tc>
      </w:tr>
      <w:tr w:rsidR="000C6631" w:rsidRPr="00025B12" w:rsidTr="00901367">
        <w:trPr>
          <w:trHeight w:val="360"/>
        </w:trPr>
        <w:tc>
          <w:tcPr>
            <w:tcW w:w="1383" w:type="dxa"/>
            <w:tcBorders>
              <w:top w:val="dotted" w:sz="4" w:space="0" w:color="auto"/>
              <w:right w:val="dotted" w:sz="4" w:space="0" w:color="auto"/>
            </w:tcBorders>
          </w:tcPr>
          <w:p w:rsidR="000C6631" w:rsidRPr="00025B12" w:rsidRDefault="000C6631"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07" w:type="dxa"/>
            <w:tcBorders>
              <w:top w:val="dotted" w:sz="4" w:space="0" w:color="auto"/>
              <w:left w:val="dotted" w:sz="4" w:space="0" w:color="auto"/>
              <w:right w:val="dotted" w:sz="4" w:space="0" w:color="auto"/>
            </w:tcBorders>
            <w:vAlign w:val="center"/>
          </w:tcPr>
          <w:p w:rsidR="000C6631" w:rsidRPr="00025B12" w:rsidRDefault="00665F1D" w:rsidP="000C6631">
            <w:pPr>
              <w:spacing w:after="0" w:line="240" w:lineRule="auto"/>
              <w:jc w:val="center"/>
              <w:rPr>
                <w:rFonts w:ascii="Verdana" w:eastAsiaTheme="minorHAnsi" w:hAnsi="Verdana" w:cstheme="minorBidi"/>
                <w:sz w:val="18"/>
                <w:szCs w:val="18"/>
              </w:rPr>
            </w:pPr>
            <w:hyperlink w:anchor="VŠPS" w:history="1">
              <w:r w:rsidR="000C6631"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5" w:type="dxa"/>
            <w:tcBorders>
              <w:top w:val="dotted" w:sz="4" w:space="0" w:color="auto"/>
              <w:left w:val="dotted" w:sz="4" w:space="0" w:color="auto"/>
              <w:right w:val="dotted" w:sz="4" w:space="0" w:color="auto"/>
            </w:tcBorders>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tcBorders>
            <w:shd w:val="clear" w:color="auto" w:fill="auto"/>
            <w:vAlign w:val="center"/>
          </w:tcPr>
          <w:p w:rsidR="000C6631" w:rsidRPr="00025B12" w:rsidRDefault="000C6631"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w:t>
            </w:r>
            <w:r w:rsidR="00901367" w:rsidRPr="00025B12">
              <w:rPr>
                <w:rFonts w:ascii="Verdana" w:eastAsiaTheme="minorHAnsi" w:hAnsi="Verdana" w:cstheme="minorBidi"/>
                <w:sz w:val="18"/>
                <w:szCs w:val="18"/>
              </w:rPr>
              <w:t>5</w:t>
            </w:r>
          </w:p>
        </w:tc>
      </w:tr>
      <w:tr w:rsidR="00403468" w:rsidRPr="00025B12" w:rsidTr="00A9209D">
        <w:trPr>
          <w:trHeight w:val="274"/>
        </w:trPr>
        <w:tc>
          <w:tcPr>
            <w:tcW w:w="7621" w:type="dxa"/>
            <w:gridSpan w:val="4"/>
            <w:shd w:val="clear" w:color="auto" w:fill="663399"/>
          </w:tcPr>
          <w:p w:rsidR="00403468" w:rsidRPr="00025B12" w:rsidRDefault="00403468" w:rsidP="00A9209D">
            <w:pPr>
              <w:spacing w:after="0" w:line="240" w:lineRule="auto"/>
              <w:jc w:val="center"/>
              <w:rPr>
                <w:rFonts w:ascii="Verdana" w:eastAsiaTheme="minorHAnsi" w:hAnsi="Verdana" w:cstheme="minorBidi"/>
                <w:sz w:val="18"/>
                <w:szCs w:val="18"/>
              </w:rPr>
            </w:pPr>
          </w:p>
        </w:tc>
        <w:tc>
          <w:tcPr>
            <w:tcW w:w="1667" w:type="dxa"/>
            <w:shd w:val="clear" w:color="auto" w:fill="663399"/>
          </w:tcPr>
          <w:p w:rsidR="00403468" w:rsidRPr="00025B12" w:rsidRDefault="00403468" w:rsidP="00A9209D">
            <w:pPr>
              <w:spacing w:after="0" w:line="240" w:lineRule="auto"/>
              <w:jc w:val="center"/>
              <w:rPr>
                <w:rFonts w:ascii="Verdana" w:eastAsiaTheme="minorHAnsi" w:hAnsi="Verdana" w:cstheme="minorBidi"/>
                <w:sz w:val="18"/>
                <w:szCs w:val="18"/>
              </w:rPr>
            </w:pPr>
          </w:p>
        </w:tc>
      </w:tr>
      <w:tr w:rsidR="00403468" w:rsidRPr="00025B12" w:rsidTr="00A9209D">
        <w:trPr>
          <w:trHeight w:val="2091"/>
        </w:trPr>
        <w:tc>
          <w:tcPr>
            <w:tcW w:w="9288" w:type="dxa"/>
            <w:gridSpan w:val="5"/>
          </w:tcPr>
          <w:p w:rsidR="00403468" w:rsidRPr="00025B12" w:rsidRDefault="0040346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03468" w:rsidRPr="00025B12" w:rsidRDefault="00403468" w:rsidP="00AD2809">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Vzdělanostní struktura dospělé populace se v čase mění poměrně pomalu, neboť jen malá část lidí si po dokončení počátečního vzdělávání dodělává vyšší formální kval</w:t>
            </w:r>
            <w:r w:rsidR="00AD2809" w:rsidRPr="00025B12">
              <w:rPr>
                <w:rFonts w:ascii="Verdana" w:eastAsiaTheme="minorHAnsi" w:hAnsi="Verdana" w:cstheme="minorBidi"/>
                <w:sz w:val="18"/>
                <w:szCs w:val="18"/>
              </w:rPr>
              <w:t>ifikaci v dospělém věku. Hlavní</w:t>
            </w:r>
            <w:r w:rsidRPr="00025B12">
              <w:rPr>
                <w:rFonts w:ascii="Verdana" w:eastAsiaTheme="minorHAnsi" w:hAnsi="Verdana" w:cstheme="minorBidi"/>
                <w:sz w:val="18"/>
                <w:szCs w:val="18"/>
              </w:rPr>
              <w:t xml:space="preserve"> příčinou změn vzdělanostní struktury populace je proto fakt, že mladší ročníky dosahují vyššího vzdělání než starší. Porovnáním vzdělanostní struktury mladší a starší generace tak můžeme zachytit změny ve struktuře (a </w:t>
            </w:r>
            <w:r w:rsidR="0099398D" w:rsidRPr="00025B12">
              <w:rPr>
                <w:rFonts w:ascii="Verdana" w:eastAsiaTheme="minorHAnsi" w:hAnsi="Verdana" w:cstheme="minorBidi"/>
                <w:sz w:val="18"/>
                <w:szCs w:val="18"/>
              </w:rPr>
              <w:t>potenciál</w:t>
            </w:r>
            <w:r w:rsidRPr="00025B12">
              <w:rPr>
                <w:rFonts w:ascii="Verdana" w:eastAsiaTheme="minorHAnsi" w:hAnsi="Verdana" w:cstheme="minorBidi"/>
                <w:sz w:val="18"/>
                <w:szCs w:val="18"/>
              </w:rPr>
              <w:t xml:space="preserve"> těchto změn) mnohem rychleji. Za v</w:t>
            </w:r>
            <w:r w:rsidR="0099398D" w:rsidRPr="00025B12">
              <w:rPr>
                <w:rFonts w:ascii="Verdana" w:eastAsiaTheme="minorHAnsi" w:hAnsi="Verdana" w:cstheme="minorBidi"/>
                <w:sz w:val="18"/>
                <w:szCs w:val="18"/>
              </w:rPr>
              <w:t>zdělanostní mobilitu je považová</w:t>
            </w:r>
            <w:r w:rsidRPr="00025B12">
              <w:rPr>
                <w:rFonts w:ascii="Verdana" w:eastAsiaTheme="minorHAnsi" w:hAnsi="Verdana" w:cstheme="minorBidi"/>
                <w:sz w:val="18"/>
                <w:szCs w:val="18"/>
              </w:rPr>
              <w:t>na situace, kdy děti dosahují jiného vzdělání než jejich rodiče, na makroúrovni je možné tuto situaci aproximovat právě srovnáním vzdělanostních struktur různých generací. V praxi se setkáváme častěji se vzdělanostní mobilitou vzestupnou než sestupnou (tu na makroúrovni prakticky není možné zachytit).</w:t>
            </w:r>
          </w:p>
        </w:tc>
      </w:tr>
      <w:tr w:rsidR="00403468" w:rsidRPr="00025B12" w:rsidTr="00A9209D">
        <w:trPr>
          <w:trHeight w:val="1979"/>
        </w:trPr>
        <w:tc>
          <w:tcPr>
            <w:tcW w:w="9288" w:type="dxa"/>
            <w:gridSpan w:val="5"/>
          </w:tcPr>
          <w:p w:rsidR="00403468" w:rsidRPr="00025B12" w:rsidRDefault="0040346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1B7CE3" w:rsidRPr="00025B12" w:rsidRDefault="00403468" w:rsidP="00AD2809">
            <w:pPr>
              <w:spacing w:before="60" w:after="120" w:line="312" w:lineRule="auto"/>
              <w:jc w:val="both"/>
              <w:rPr>
                <w:rFonts w:ascii="Verdana" w:eastAsiaTheme="minorHAnsi" w:hAnsi="Verdana" w:cstheme="minorBidi"/>
                <w:sz w:val="18"/>
                <w:szCs w:val="18"/>
              </w:rPr>
            </w:pPr>
            <w:r w:rsidRPr="00025B12">
              <w:rPr>
                <w:rFonts w:ascii="Verdana" w:eastAsiaTheme="minorHAnsi" w:hAnsi="Verdana" w:cstheme="minorBidi"/>
                <w:sz w:val="18"/>
                <w:szCs w:val="18"/>
              </w:rPr>
              <w:t xml:space="preserve">Indikátor vzdělanostní mobility je vypočten na základě srovnání vzdělanostní struktury populace ve věku 30-34 let a populace ve věku 60-64 let. </w:t>
            </w:r>
            <w:r w:rsidR="001B7CE3" w:rsidRPr="00025B12">
              <w:rPr>
                <w:rFonts w:ascii="Verdana" w:eastAsiaTheme="minorHAnsi" w:hAnsi="Verdana" w:cstheme="minorBidi"/>
                <w:sz w:val="18"/>
                <w:szCs w:val="18"/>
              </w:rPr>
              <w:t>Indikátor se skládá ze dvou složek</w:t>
            </w:r>
            <w:r w:rsidRPr="00025B12">
              <w:rPr>
                <w:rFonts w:ascii="Verdana" w:eastAsiaTheme="minorHAnsi" w:hAnsi="Verdana" w:cstheme="minorBidi"/>
                <w:sz w:val="18"/>
                <w:szCs w:val="18"/>
              </w:rPr>
              <w:t xml:space="preserve"> – (1) první měří mobilitu na vyšší sekundární úrovni (ISCED 3 a vyšší) (podíl osob se středním a vyšším vzděláním v populaci 30-34 let ku podílu osob se středním a vyšším vzděláním v populaci 60-64 let vynásobený stem), (2) druhý ukazatel měří mobilitu na terciární úrovni (ISCED 5-6) (podíl osob s terciárním vzděláním v populaci 30-34 let ku podílu osob s terciárním vzděláním v populaci 60-64 let vynásobený stem). </w:t>
            </w:r>
            <w:r w:rsidR="001B7CE3" w:rsidRPr="00025B12">
              <w:rPr>
                <w:rFonts w:ascii="Verdana" w:eastAsiaTheme="minorHAnsi" w:hAnsi="Verdana" w:cstheme="minorBidi"/>
                <w:sz w:val="18"/>
                <w:szCs w:val="18"/>
              </w:rPr>
              <w:t>Výsledné indikátory nabývají hodnoty od 0 do 200, přičemž 100 značí žádné rozdíly, čím jsou hodnoty vyšší, tím vyšší je podíl vzdělanějších lidí v mladé věkové skupině skupiny ve srovnání se starší věkovou skupinou.</w:t>
            </w:r>
          </w:p>
          <w:p w:rsidR="00403468" w:rsidRPr="00025B12" w:rsidRDefault="00403468" w:rsidP="00AD2809">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 xml:space="preserve">Výše popsaný postup odpovídá výpočtu indikátoru na evropské úrovni. Na regionální úrovni je v ukazateli (1) použita místo mobility na  vyšší sekundární úrovni (ISCED 3 a vyšší) mobilita na úrovni vzdělání s maturitou a vyšší (ISCED 3a a vyšší), neboť to lépe </w:t>
            </w:r>
            <w:r w:rsidR="0099398D" w:rsidRPr="00025B12">
              <w:rPr>
                <w:rFonts w:ascii="Verdana" w:eastAsiaTheme="minorHAnsi" w:hAnsi="Verdana" w:cstheme="minorBidi"/>
                <w:sz w:val="18"/>
                <w:szCs w:val="18"/>
              </w:rPr>
              <w:t>reflektuje</w:t>
            </w:r>
            <w:r w:rsidRPr="00025B12">
              <w:rPr>
                <w:rFonts w:ascii="Verdana" w:eastAsiaTheme="minorHAnsi" w:hAnsi="Verdana" w:cstheme="minorBidi"/>
                <w:sz w:val="18"/>
                <w:szCs w:val="18"/>
              </w:rPr>
              <w:t xml:space="preserve"> realitu českého vzdělávacího systému a aktuální vzdělanostní struktury české populace (v</w:t>
            </w:r>
            <w:r w:rsidR="00337ED8" w:rsidRPr="00025B12">
              <w:rPr>
                <w:rFonts w:ascii="Verdana" w:eastAsiaTheme="minorHAnsi" w:hAnsi="Verdana" w:cstheme="minorBidi"/>
                <w:sz w:val="18"/>
                <w:szCs w:val="18"/>
              </w:rPr>
              <w:t>iz vysvětlení u indikátoru I.1.d1</w:t>
            </w:r>
            <w:r w:rsidRPr="00025B12">
              <w:rPr>
                <w:rFonts w:ascii="Verdana" w:eastAsiaTheme="minorHAnsi" w:hAnsi="Verdana" w:cstheme="minorBidi"/>
                <w:sz w:val="18"/>
                <w:szCs w:val="18"/>
              </w:rPr>
              <w:t>)</w:t>
            </w:r>
          </w:p>
        </w:tc>
      </w:tr>
      <w:tr w:rsidR="00403468" w:rsidRPr="00025B12" w:rsidTr="00A9209D">
        <w:trPr>
          <w:trHeight w:val="1412"/>
        </w:trPr>
        <w:tc>
          <w:tcPr>
            <w:tcW w:w="9288" w:type="dxa"/>
            <w:gridSpan w:val="5"/>
          </w:tcPr>
          <w:p w:rsidR="00403468" w:rsidRPr="00025B12" w:rsidRDefault="0040346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03468" w:rsidRPr="00025B12" w:rsidRDefault="00403468" w:rsidP="00337ED8">
            <w:pPr>
              <w:spacing w:before="60" w:after="120" w:line="312" w:lineRule="auto"/>
              <w:jc w:val="both"/>
              <w:rPr>
                <w:rFonts w:ascii="Verdana" w:hAnsi="Verdana"/>
                <w:sz w:val="18"/>
                <w:szCs w:val="18"/>
              </w:rPr>
            </w:pPr>
            <w:r w:rsidRPr="00025B12">
              <w:rPr>
                <w:rFonts w:ascii="Verdana" w:eastAsiaTheme="minorHAnsi" w:hAnsi="Verdana" w:cstheme="minorBidi"/>
                <w:sz w:val="18"/>
                <w:szCs w:val="18"/>
              </w:rPr>
              <w:t>Na evropské úrovni jsou data pro výpočet indikátoru přebírána z webové databáze Eurostatu, indikátor je dopočítáván z publikovaných absolutních čísel. Pro regionální srovnání je výpočet proveden z mikrodatového souboru, neboť tabulky publikované na webových stránkách ČSÚ obsahují pouze informace o populaci 15+.</w:t>
            </w:r>
          </w:p>
        </w:tc>
      </w:tr>
      <w:tr w:rsidR="00403468" w:rsidRPr="00025B12" w:rsidTr="00A9209D">
        <w:trPr>
          <w:trHeight w:val="837"/>
        </w:trPr>
        <w:tc>
          <w:tcPr>
            <w:tcW w:w="9288" w:type="dxa"/>
            <w:gridSpan w:val="5"/>
          </w:tcPr>
          <w:p w:rsidR="00403468" w:rsidRPr="00025B12" w:rsidRDefault="0040346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03468" w:rsidRPr="00025B12" w:rsidRDefault="0040346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sz w:val="18"/>
                <w:szCs w:val="18"/>
              </w:rPr>
              <w:t>-</w:t>
            </w:r>
          </w:p>
        </w:tc>
      </w:tr>
    </w:tbl>
    <w:p w:rsidR="00403468" w:rsidRPr="00025B12" w:rsidRDefault="00403468" w:rsidP="00403468"/>
    <w:p w:rsidR="00C43089" w:rsidRPr="00025B12" w:rsidRDefault="00403468" w:rsidP="000C6631">
      <w:pPr>
        <w:jc w:val="both"/>
        <w:outlineLvl w:val="0"/>
        <w:rPr>
          <w:rFonts w:ascii="Verdana" w:hAnsi="Verdana"/>
          <w:b/>
          <w:sz w:val="24"/>
          <w:szCs w:val="24"/>
        </w:rPr>
      </w:pPr>
      <w:r w:rsidRPr="00025B12">
        <w:br w:type="page"/>
      </w:r>
      <w:r w:rsidR="00C43089" w:rsidRPr="00025B12">
        <w:rPr>
          <w:rFonts w:ascii="Verdana" w:hAnsi="Verdana"/>
          <w:b/>
          <w:sz w:val="24"/>
          <w:szCs w:val="24"/>
        </w:rPr>
        <w:lastRenderedPageBreak/>
        <w:t>I.2 Mzdová diferenciace podle vzdělání</w:t>
      </w:r>
    </w:p>
    <w:p w:rsidR="00E21A26" w:rsidRPr="00025B12" w:rsidRDefault="00E21A26" w:rsidP="000C6631">
      <w:pPr>
        <w:jc w:val="both"/>
        <w:outlineLvl w:val="0"/>
        <w:rPr>
          <w:rFonts w:ascii="Verdana" w:hAnsi="Verdan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07"/>
        <w:gridCol w:w="2276"/>
        <w:gridCol w:w="2155"/>
        <w:gridCol w:w="1667"/>
      </w:tblGrid>
      <w:tr w:rsidR="00403468" w:rsidRPr="00025B12" w:rsidTr="00A9209D">
        <w:trPr>
          <w:trHeight w:val="425"/>
        </w:trPr>
        <w:tc>
          <w:tcPr>
            <w:tcW w:w="1383" w:type="dxa"/>
            <w:tcBorders>
              <w:bottom w:val="single" w:sz="4" w:space="0" w:color="auto"/>
              <w:right w:val="single" w:sz="4" w:space="0" w:color="auto"/>
            </w:tcBorders>
            <w:shd w:val="clear" w:color="auto" w:fill="663399"/>
            <w:vAlign w:val="center"/>
          </w:tcPr>
          <w:p w:rsidR="00403468" w:rsidRPr="00025B12" w:rsidRDefault="00403468"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br w:type="page"/>
            </w:r>
            <w:bookmarkStart w:id="52" w:name="I21"/>
            <w:r w:rsidRPr="00025B12">
              <w:rPr>
                <w:rFonts w:ascii="Verdana" w:eastAsiaTheme="minorHAnsi" w:hAnsi="Verdana" w:cstheme="minorBidi"/>
                <w:b/>
                <w:color w:val="FFFFFF" w:themeColor="background1"/>
                <w:sz w:val="18"/>
                <w:szCs w:val="18"/>
              </w:rPr>
              <w:t>I.2.1</w:t>
            </w:r>
            <w:bookmarkEnd w:id="52"/>
          </w:p>
        </w:tc>
        <w:tc>
          <w:tcPr>
            <w:tcW w:w="7905" w:type="dxa"/>
            <w:gridSpan w:val="4"/>
            <w:vMerge w:val="restart"/>
            <w:tcBorders>
              <w:top w:val="single" w:sz="4" w:space="0" w:color="auto"/>
              <w:left w:val="single" w:sz="4" w:space="0" w:color="auto"/>
              <w:right w:val="single" w:sz="4" w:space="0" w:color="auto"/>
            </w:tcBorders>
            <w:shd w:val="clear" w:color="auto" w:fill="663399"/>
            <w:vAlign w:val="center"/>
          </w:tcPr>
          <w:p w:rsidR="00403468" w:rsidRPr="00025B12" w:rsidRDefault="00403468" w:rsidP="00403468">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Mzdová diferenciace podle vzdělání</w:t>
            </w:r>
          </w:p>
        </w:tc>
      </w:tr>
      <w:tr w:rsidR="00403468" w:rsidRPr="00025B12" w:rsidTr="00A9209D">
        <w:trPr>
          <w:trHeight w:val="360"/>
        </w:trPr>
        <w:tc>
          <w:tcPr>
            <w:tcW w:w="1383" w:type="dxa"/>
            <w:tcBorders>
              <w:top w:val="single" w:sz="4" w:space="0" w:color="auto"/>
              <w:bottom w:val="single" w:sz="4" w:space="0" w:color="auto"/>
              <w:right w:val="single" w:sz="4" w:space="0" w:color="auto"/>
            </w:tcBorders>
            <w:shd w:val="clear" w:color="auto" w:fill="663399"/>
            <w:vAlign w:val="center"/>
          </w:tcPr>
          <w:p w:rsidR="00403468" w:rsidRPr="00025B12" w:rsidRDefault="00615B61"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905" w:type="dxa"/>
            <w:gridSpan w:val="4"/>
            <w:vMerge/>
            <w:tcBorders>
              <w:left w:val="single" w:sz="4" w:space="0" w:color="auto"/>
              <w:bottom w:val="single" w:sz="4" w:space="0" w:color="auto"/>
              <w:right w:val="single"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123CB7">
        <w:trPr>
          <w:trHeight w:val="360"/>
        </w:trPr>
        <w:tc>
          <w:tcPr>
            <w:tcW w:w="1383" w:type="dxa"/>
            <w:tcBorders>
              <w:top w:val="single"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807"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76"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5"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67" w:type="dxa"/>
            <w:tcBorders>
              <w:top w:val="single" w:sz="4" w:space="0" w:color="auto"/>
              <w:left w:val="dotted" w:sz="4" w:space="0" w:color="auto"/>
              <w:bottom w:val="dotted" w:sz="4" w:space="0" w:color="auto"/>
            </w:tcBorders>
            <w:vAlign w:val="center"/>
          </w:tcPr>
          <w:p w:rsidR="00403468" w:rsidRPr="00025B12" w:rsidRDefault="00403468" w:rsidP="00123CB7">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03468" w:rsidRPr="00025B12" w:rsidTr="00A9209D">
        <w:trPr>
          <w:trHeight w:val="360"/>
        </w:trPr>
        <w:tc>
          <w:tcPr>
            <w:tcW w:w="1383" w:type="dxa"/>
            <w:tcBorders>
              <w:top w:val="dotted"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07" w:type="dxa"/>
            <w:tcBorders>
              <w:top w:val="dotted" w:sz="4" w:space="0" w:color="auto"/>
              <w:left w:val="dotted" w:sz="4" w:space="0" w:color="auto"/>
              <w:bottom w:val="dotted" w:sz="4" w:space="0" w:color="auto"/>
              <w:right w:val="dotted" w:sz="4" w:space="0" w:color="auto"/>
            </w:tcBorders>
            <w:vAlign w:val="center"/>
          </w:tcPr>
          <w:p w:rsidR="00403468" w:rsidRPr="00025B12" w:rsidRDefault="00665F1D" w:rsidP="00403468">
            <w:pPr>
              <w:spacing w:after="0" w:line="240" w:lineRule="auto"/>
              <w:jc w:val="center"/>
              <w:rPr>
                <w:rFonts w:ascii="Verdana" w:eastAsiaTheme="minorHAnsi" w:hAnsi="Verdana" w:cstheme="minorBidi"/>
                <w:sz w:val="18"/>
                <w:szCs w:val="18"/>
              </w:rPr>
            </w:pPr>
            <w:hyperlink w:anchor="ISPV" w:history="1">
              <w:r w:rsidR="00403468" w:rsidRPr="00025B12">
                <w:rPr>
                  <w:rStyle w:val="Hypertextovodkaz"/>
                  <w:rFonts w:ascii="Verdana" w:eastAsiaTheme="minorHAnsi" w:hAnsi="Verdana" w:cstheme="minorBidi"/>
                  <w:sz w:val="18"/>
                  <w:szCs w:val="18"/>
                </w:rPr>
                <w:t>SES</w:t>
              </w:r>
            </w:hyperlink>
          </w:p>
        </w:tc>
        <w:tc>
          <w:tcPr>
            <w:tcW w:w="2276"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55"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4 roky</w:t>
            </w:r>
          </w:p>
        </w:tc>
        <w:tc>
          <w:tcPr>
            <w:tcW w:w="1667" w:type="dxa"/>
            <w:tcBorders>
              <w:top w:val="dotted" w:sz="4" w:space="0" w:color="auto"/>
              <w:left w:val="dotted" w:sz="4" w:space="0" w:color="auto"/>
              <w:bottom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2002, 2006</w:t>
            </w:r>
          </w:p>
        </w:tc>
      </w:tr>
      <w:tr w:rsidR="00403468" w:rsidRPr="00025B12" w:rsidTr="00A9209D">
        <w:trPr>
          <w:trHeight w:val="360"/>
        </w:trPr>
        <w:tc>
          <w:tcPr>
            <w:tcW w:w="1383" w:type="dxa"/>
            <w:tcBorders>
              <w:top w:val="dotted"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07" w:type="dxa"/>
            <w:tcBorders>
              <w:top w:val="dotted" w:sz="4" w:space="0" w:color="auto"/>
              <w:left w:val="dotted" w:sz="4" w:space="0" w:color="auto"/>
              <w:bottom w:val="dotted" w:sz="4" w:space="0" w:color="auto"/>
              <w:right w:val="dotted" w:sz="4" w:space="0" w:color="auto"/>
            </w:tcBorders>
            <w:vAlign w:val="center"/>
          </w:tcPr>
          <w:p w:rsidR="00403468" w:rsidRPr="00025B12" w:rsidRDefault="00665F1D" w:rsidP="00403468">
            <w:pPr>
              <w:spacing w:after="0" w:line="240" w:lineRule="auto"/>
              <w:jc w:val="center"/>
              <w:rPr>
                <w:rFonts w:ascii="Verdana" w:eastAsiaTheme="minorHAnsi" w:hAnsi="Verdana" w:cstheme="minorBidi"/>
                <w:sz w:val="18"/>
                <w:szCs w:val="18"/>
              </w:rPr>
            </w:pPr>
            <w:hyperlink w:anchor="ISPV" w:history="1">
              <w:r w:rsidR="00403468" w:rsidRPr="00025B12">
                <w:rPr>
                  <w:rStyle w:val="Hypertextovodkaz"/>
                  <w:rFonts w:ascii="Verdana" w:eastAsiaTheme="minorHAnsi" w:hAnsi="Verdana" w:cstheme="minorBidi"/>
                  <w:sz w:val="18"/>
                  <w:szCs w:val="18"/>
                </w:rPr>
                <w:t>ISPV</w:t>
              </w:r>
            </w:hyperlink>
          </w:p>
        </w:tc>
        <w:tc>
          <w:tcPr>
            <w:tcW w:w="2276"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Trexima</w:t>
            </w:r>
          </w:p>
        </w:tc>
        <w:tc>
          <w:tcPr>
            <w:tcW w:w="2155"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1x ročně</w:t>
            </w:r>
          </w:p>
        </w:tc>
        <w:tc>
          <w:tcPr>
            <w:tcW w:w="1667" w:type="dxa"/>
            <w:tcBorders>
              <w:top w:val="dotted" w:sz="4" w:space="0" w:color="auto"/>
              <w:left w:val="dotted" w:sz="4" w:space="0" w:color="auto"/>
              <w:bottom w:val="dotted" w:sz="4" w:space="0" w:color="auto"/>
            </w:tcBorders>
            <w:vAlign w:val="center"/>
          </w:tcPr>
          <w:p w:rsidR="00403468" w:rsidRPr="00025B12" w:rsidRDefault="0090136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2000</w:t>
            </w:r>
          </w:p>
        </w:tc>
      </w:tr>
      <w:tr w:rsidR="000C6631" w:rsidRPr="00025B12" w:rsidTr="00A9209D">
        <w:trPr>
          <w:trHeight w:val="360"/>
        </w:trPr>
        <w:tc>
          <w:tcPr>
            <w:tcW w:w="1383" w:type="dxa"/>
            <w:tcBorders>
              <w:top w:val="dotted" w:sz="4" w:space="0" w:color="auto"/>
              <w:right w:val="dotted" w:sz="4" w:space="0" w:color="auto"/>
            </w:tcBorders>
          </w:tcPr>
          <w:p w:rsidR="000C6631" w:rsidRPr="00025B12" w:rsidRDefault="000C6631"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07" w:type="dxa"/>
            <w:tcBorders>
              <w:top w:val="dotted" w:sz="4" w:space="0" w:color="auto"/>
              <w:left w:val="dotted" w:sz="4" w:space="0" w:color="auto"/>
              <w:right w:val="dotted" w:sz="4" w:space="0" w:color="auto"/>
            </w:tcBorders>
            <w:vAlign w:val="center"/>
          </w:tcPr>
          <w:p w:rsidR="000C6631" w:rsidRPr="00025B12" w:rsidRDefault="00665F1D" w:rsidP="000C6631">
            <w:pPr>
              <w:spacing w:after="0" w:line="240" w:lineRule="auto"/>
              <w:jc w:val="center"/>
              <w:rPr>
                <w:rFonts w:ascii="Verdana" w:eastAsiaTheme="minorHAnsi" w:hAnsi="Verdana" w:cstheme="minorBidi"/>
                <w:sz w:val="18"/>
                <w:szCs w:val="18"/>
              </w:rPr>
            </w:pPr>
            <w:hyperlink w:anchor="ISPV" w:history="1">
              <w:r w:rsidR="000C6631" w:rsidRPr="00025B12">
                <w:rPr>
                  <w:rStyle w:val="Hypertextovodkaz"/>
                  <w:rFonts w:ascii="Verdana" w:eastAsiaTheme="minorHAnsi" w:hAnsi="Verdana" w:cstheme="minorBidi"/>
                  <w:sz w:val="18"/>
                  <w:szCs w:val="18"/>
                </w:rPr>
                <w:t>ISPV</w:t>
              </w:r>
            </w:hyperlink>
          </w:p>
        </w:tc>
        <w:tc>
          <w:tcPr>
            <w:tcW w:w="2276" w:type="dxa"/>
            <w:tcBorders>
              <w:top w:val="dotted" w:sz="4" w:space="0" w:color="auto"/>
              <w:left w:val="dotted" w:sz="4" w:space="0" w:color="auto"/>
              <w:right w:val="dotted" w:sz="4" w:space="0" w:color="auto"/>
            </w:tcBorders>
            <w:vAlign w:val="center"/>
          </w:tcPr>
          <w:p w:rsidR="000C6631" w:rsidRPr="00025B12" w:rsidRDefault="000C6631"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Trexima</w:t>
            </w:r>
          </w:p>
        </w:tc>
        <w:tc>
          <w:tcPr>
            <w:tcW w:w="2155" w:type="dxa"/>
            <w:tcBorders>
              <w:top w:val="dotted" w:sz="4" w:space="0" w:color="auto"/>
              <w:left w:val="dotted" w:sz="4" w:space="0" w:color="auto"/>
              <w:right w:val="dotted" w:sz="4" w:space="0" w:color="auto"/>
            </w:tcBorders>
            <w:vAlign w:val="center"/>
          </w:tcPr>
          <w:p w:rsidR="000C6631" w:rsidRPr="00025B12" w:rsidRDefault="000C6631"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1x ročně</w:t>
            </w:r>
          </w:p>
        </w:tc>
        <w:tc>
          <w:tcPr>
            <w:tcW w:w="1667" w:type="dxa"/>
            <w:tcBorders>
              <w:top w:val="dotted" w:sz="4" w:space="0" w:color="auto"/>
              <w:left w:val="dotted" w:sz="4" w:space="0" w:color="auto"/>
            </w:tcBorders>
            <w:vAlign w:val="center"/>
          </w:tcPr>
          <w:p w:rsidR="000C6631" w:rsidRPr="00025B12" w:rsidRDefault="0090136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2000</w:t>
            </w:r>
          </w:p>
        </w:tc>
      </w:tr>
      <w:tr w:rsidR="00403468" w:rsidRPr="00025B12" w:rsidTr="00A9209D">
        <w:trPr>
          <w:trHeight w:val="274"/>
        </w:trPr>
        <w:tc>
          <w:tcPr>
            <w:tcW w:w="7621" w:type="dxa"/>
            <w:gridSpan w:val="4"/>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667" w:type="dxa"/>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A9209D">
        <w:trPr>
          <w:trHeight w:val="2091"/>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03468" w:rsidRPr="00025B12" w:rsidRDefault="00403468" w:rsidP="00403468">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Úroveň formálního vzdělání jedince velmi silně ovlivňuje výši mzdy, na kterou je schopen dosáhnout. Zcela jednoznačně toto platí v povoláních, kde jsou výdělky stanoveny platovými tabulkami, ale i v soukromé sféře je efekt formálního vzdělání velmi významný. Míra mzdové diferenciace podle vzdělání, kterou představují rozdíly mezi mzdou na různých vzdělanostních stupních, může významně vypovídat o vztahu mezi nabídkou a poptávkou po více vzdělaných osobách. Vyšší mzdová diferenciace může tvořit motivační faktor vstupu dospělých do formálního dalšího vzdělávání (zvýšení si kvalifikace s perspektivou budoucích vyšších výdělků).</w:t>
            </w:r>
            <w:r w:rsidR="00B90FDC" w:rsidRPr="00025B12">
              <w:rPr>
                <w:rFonts w:ascii="Verdana" w:eastAsiaTheme="minorHAnsi" w:hAnsi="Verdana" w:cstheme="minorBidi"/>
                <w:sz w:val="18"/>
                <w:szCs w:val="18"/>
              </w:rPr>
              <w:t xml:space="preserve"> Při širší interpretaci mzdové diferenciace je třeba zároveň přihlížet ke vzdělanostní struktuře populace.</w:t>
            </w:r>
          </w:p>
        </w:tc>
      </w:tr>
      <w:tr w:rsidR="00403468" w:rsidRPr="00025B12" w:rsidTr="00A9209D">
        <w:trPr>
          <w:trHeight w:val="1979"/>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03468" w:rsidRPr="00025B12" w:rsidRDefault="00B90FDC" w:rsidP="00381F27">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 xml:space="preserve">Indikátor se skládá ze dvou </w:t>
            </w:r>
            <w:r w:rsidR="0099398D" w:rsidRPr="00025B12">
              <w:rPr>
                <w:rFonts w:ascii="Verdana" w:eastAsiaTheme="minorHAnsi" w:hAnsi="Verdana" w:cstheme="minorBidi"/>
                <w:sz w:val="18"/>
                <w:szCs w:val="18"/>
              </w:rPr>
              <w:t>složek</w:t>
            </w:r>
            <w:r w:rsidRPr="00025B12">
              <w:rPr>
                <w:rFonts w:ascii="Verdana" w:eastAsiaTheme="minorHAnsi" w:hAnsi="Verdana" w:cstheme="minorBidi"/>
                <w:sz w:val="18"/>
                <w:szCs w:val="18"/>
              </w:rPr>
              <w:t>:</w:t>
            </w:r>
            <w:r w:rsidR="00403468" w:rsidRPr="00025B12">
              <w:rPr>
                <w:rFonts w:ascii="Verdana" w:eastAsiaTheme="minorHAnsi" w:hAnsi="Verdana" w:cstheme="minorBidi"/>
                <w:sz w:val="18"/>
                <w:szCs w:val="18"/>
              </w:rPr>
              <w:t xml:space="preserve"> (1) Medián výdělků lidí se základním vzděláním (ISCED 0-2) je vydělen mediánem výdělků osob se středním vzděláním (ISCED 3-4) a vynásoben stem. Ve druhém kroku (2) je medián výdělků osob s vysokým vzděláním (ISCED 5-6) vydělen rovněž mediánem výdělků osob se středním vzděláním (ISCED 3-4) a vynásoben stem. </w:t>
            </w:r>
            <w:r w:rsidR="00381F27" w:rsidRPr="00025B12">
              <w:rPr>
                <w:rFonts w:ascii="Verdana" w:eastAsiaTheme="minorHAnsi" w:hAnsi="Verdana" w:cstheme="minorBidi"/>
                <w:sz w:val="18"/>
                <w:szCs w:val="18"/>
              </w:rPr>
              <w:t>Výsledné indikátory nabývají hodnoty od 0 do 200, přičemž 100 značí žádné rozdíly, čím jsou hodnoty vyšší, tím vyšší jsou mzdy sledované skupiny ve srovnání se skupinou lidí se středním vzděláním.</w:t>
            </w:r>
          </w:p>
        </w:tc>
      </w:tr>
      <w:tr w:rsidR="00403468" w:rsidRPr="00025B12" w:rsidTr="00A9209D">
        <w:trPr>
          <w:trHeight w:val="1412"/>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03468" w:rsidRPr="00025B12" w:rsidRDefault="00403468" w:rsidP="00337ED8">
            <w:pPr>
              <w:spacing w:before="60" w:after="120" w:line="312" w:lineRule="auto"/>
              <w:jc w:val="both"/>
              <w:rPr>
                <w:rFonts w:ascii="Verdana" w:hAnsi="Verdana"/>
                <w:sz w:val="18"/>
                <w:szCs w:val="18"/>
              </w:rPr>
            </w:pPr>
            <w:r w:rsidRPr="00025B12">
              <w:rPr>
                <w:rFonts w:ascii="Verdana" w:eastAsiaTheme="minorHAnsi" w:hAnsi="Verdana" w:cstheme="minorBidi"/>
                <w:sz w:val="18"/>
                <w:szCs w:val="18"/>
              </w:rPr>
              <w:t xml:space="preserve">V mezinárodním srovnání pocházejí data pro indikátor z šetření Structure of Earnings Survey, které je prováděno jednou za čtyři roky. Za ČR data pocházejí z Informačního systému o průměrném výdělku, kterým jsou sbírána data každé čtvrtletí u </w:t>
            </w:r>
            <w:r w:rsidR="00337ED8" w:rsidRPr="00025B12">
              <w:rPr>
                <w:rFonts w:ascii="Verdana" w:eastAsiaTheme="minorHAnsi" w:hAnsi="Verdana" w:cstheme="minorBidi"/>
                <w:sz w:val="18"/>
                <w:szCs w:val="18"/>
              </w:rPr>
              <w:t>mzdové</w:t>
            </w:r>
            <w:r w:rsidRPr="00025B12">
              <w:rPr>
                <w:rFonts w:ascii="Verdana" w:eastAsiaTheme="minorHAnsi" w:hAnsi="Verdana" w:cstheme="minorBidi"/>
                <w:sz w:val="18"/>
                <w:szCs w:val="18"/>
              </w:rPr>
              <w:t xml:space="preserve"> a dvakrát ročně u </w:t>
            </w:r>
            <w:r w:rsidR="00337ED8" w:rsidRPr="00025B12">
              <w:rPr>
                <w:rFonts w:ascii="Verdana" w:eastAsiaTheme="minorHAnsi" w:hAnsi="Verdana" w:cstheme="minorBidi"/>
                <w:sz w:val="18"/>
                <w:szCs w:val="18"/>
              </w:rPr>
              <w:t>platové</w:t>
            </w:r>
            <w:r w:rsidRPr="00025B12">
              <w:rPr>
                <w:rFonts w:ascii="Verdana" w:eastAsiaTheme="minorHAnsi" w:hAnsi="Verdana" w:cstheme="minorBidi"/>
                <w:sz w:val="18"/>
                <w:szCs w:val="18"/>
              </w:rPr>
              <w:t xml:space="preserve"> sféry</w:t>
            </w:r>
            <w:r w:rsidR="00337ED8" w:rsidRPr="00025B12">
              <w:rPr>
                <w:rFonts w:ascii="Verdana" w:eastAsiaTheme="minorHAnsi" w:hAnsi="Verdana" w:cstheme="minorBidi"/>
                <w:sz w:val="18"/>
                <w:szCs w:val="18"/>
              </w:rPr>
              <w:t xml:space="preserve"> (od r. 2011 již oboje čtvrtletně)</w:t>
            </w:r>
            <w:r w:rsidRPr="00025B12">
              <w:rPr>
                <w:rFonts w:ascii="Verdana" w:eastAsiaTheme="minorHAnsi" w:hAnsi="Verdana" w:cstheme="minorBidi"/>
                <w:sz w:val="18"/>
                <w:szCs w:val="18"/>
              </w:rPr>
              <w:t xml:space="preserve">. </w:t>
            </w:r>
            <w:r w:rsidR="00337ED8" w:rsidRPr="00025B12">
              <w:rPr>
                <w:rFonts w:ascii="Verdana" w:eastAsiaTheme="minorHAnsi" w:hAnsi="Verdana" w:cstheme="minorBidi"/>
                <w:sz w:val="18"/>
                <w:szCs w:val="18"/>
              </w:rPr>
              <w:t>Výsledky</w:t>
            </w:r>
            <w:r w:rsidRPr="00025B12">
              <w:rPr>
                <w:rFonts w:ascii="Verdana" w:eastAsiaTheme="minorHAnsi" w:hAnsi="Verdana" w:cstheme="minorBidi"/>
                <w:sz w:val="18"/>
                <w:szCs w:val="18"/>
              </w:rPr>
              <w:t xml:space="preserve"> za ČR by proto mohl</w:t>
            </w:r>
            <w:r w:rsidR="00337ED8" w:rsidRPr="00025B12">
              <w:rPr>
                <w:rFonts w:ascii="Verdana" w:eastAsiaTheme="minorHAnsi" w:hAnsi="Verdana" w:cstheme="minorBidi"/>
                <w:sz w:val="18"/>
                <w:szCs w:val="18"/>
              </w:rPr>
              <w:t>y</w:t>
            </w:r>
            <w:r w:rsidRPr="00025B12">
              <w:rPr>
                <w:rFonts w:ascii="Verdana" w:eastAsiaTheme="minorHAnsi" w:hAnsi="Verdana" w:cstheme="minorBidi"/>
                <w:sz w:val="18"/>
                <w:szCs w:val="18"/>
              </w:rPr>
              <w:t xml:space="preserve"> být </w:t>
            </w:r>
            <w:r w:rsidR="00337ED8" w:rsidRPr="00025B12">
              <w:rPr>
                <w:rFonts w:ascii="Verdana" w:eastAsiaTheme="minorHAnsi" w:hAnsi="Verdana" w:cstheme="minorBidi"/>
                <w:sz w:val="18"/>
                <w:szCs w:val="18"/>
              </w:rPr>
              <w:t xml:space="preserve">publikovány </w:t>
            </w:r>
            <w:r w:rsidRPr="00025B12">
              <w:rPr>
                <w:rFonts w:ascii="Verdana" w:eastAsiaTheme="minorHAnsi" w:hAnsi="Verdana" w:cstheme="minorBidi"/>
                <w:sz w:val="18"/>
                <w:szCs w:val="18"/>
              </w:rPr>
              <w:t>častěj</w:t>
            </w:r>
            <w:r w:rsidR="00337ED8" w:rsidRPr="00025B12">
              <w:rPr>
                <w:rFonts w:ascii="Verdana" w:eastAsiaTheme="minorHAnsi" w:hAnsi="Verdana" w:cstheme="minorBidi"/>
                <w:sz w:val="18"/>
                <w:szCs w:val="18"/>
              </w:rPr>
              <w:t>i než v mezinárodním srovnání</w:t>
            </w:r>
            <w:r w:rsidRPr="00025B12">
              <w:rPr>
                <w:rFonts w:ascii="Verdana" w:eastAsiaTheme="minorHAnsi" w:hAnsi="Verdana" w:cstheme="minorBidi"/>
                <w:sz w:val="18"/>
                <w:szCs w:val="18"/>
              </w:rPr>
              <w:t>. Data bohužel nejsou publikována zároveň v krajském členění v souhrnu za podnikatelskou a nepodnikatelskou sféru.</w:t>
            </w:r>
          </w:p>
        </w:tc>
      </w:tr>
      <w:tr w:rsidR="00403468" w:rsidRPr="00025B12" w:rsidTr="00A9209D">
        <w:trPr>
          <w:trHeight w:val="837"/>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sz w:val="18"/>
                <w:szCs w:val="18"/>
              </w:rPr>
              <w:t>-</w:t>
            </w:r>
          </w:p>
        </w:tc>
      </w:tr>
    </w:tbl>
    <w:p w:rsidR="00403468" w:rsidRPr="00025B12" w:rsidRDefault="00403468" w:rsidP="00C43089">
      <w:pPr>
        <w:jc w:val="both"/>
        <w:rPr>
          <w:rFonts w:ascii="Verdana" w:hAnsi="Verdana"/>
          <w:b/>
          <w:sz w:val="24"/>
          <w:szCs w:val="24"/>
        </w:rPr>
      </w:pPr>
    </w:p>
    <w:p w:rsidR="00C43089" w:rsidRPr="00025B12" w:rsidRDefault="00403468" w:rsidP="000C6631">
      <w:pPr>
        <w:jc w:val="both"/>
        <w:outlineLvl w:val="0"/>
        <w:rPr>
          <w:rFonts w:ascii="Verdana" w:hAnsi="Verdana"/>
          <w:b/>
          <w:sz w:val="24"/>
          <w:szCs w:val="24"/>
        </w:rPr>
      </w:pPr>
      <w:r w:rsidRPr="00025B12">
        <w:rPr>
          <w:rFonts w:ascii="Verdana" w:hAnsi="Verdana"/>
          <w:b/>
          <w:sz w:val="24"/>
          <w:szCs w:val="24"/>
        </w:rPr>
        <w:br w:type="page"/>
      </w:r>
      <w:r w:rsidR="00C43089" w:rsidRPr="00025B12">
        <w:rPr>
          <w:rFonts w:ascii="Verdana" w:hAnsi="Verdana"/>
          <w:b/>
          <w:sz w:val="24"/>
          <w:szCs w:val="24"/>
        </w:rPr>
        <w:lastRenderedPageBreak/>
        <w:t>I.3 Legislativní a institucionální podpora dalšího vzdělávání</w:t>
      </w:r>
    </w:p>
    <w:p w:rsidR="00E21A26" w:rsidRPr="00025B12" w:rsidRDefault="00E21A26" w:rsidP="000C6631">
      <w:pPr>
        <w:jc w:val="both"/>
        <w:outlineLvl w:val="0"/>
        <w:rPr>
          <w:rFonts w:ascii="Verdana" w:hAnsi="Verdan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1801"/>
        <w:gridCol w:w="2272"/>
        <w:gridCol w:w="2150"/>
        <w:gridCol w:w="1663"/>
      </w:tblGrid>
      <w:tr w:rsidR="00403468" w:rsidRPr="00025B12" w:rsidTr="00EA3FCA">
        <w:trPr>
          <w:trHeight w:val="425"/>
        </w:trPr>
        <w:tc>
          <w:tcPr>
            <w:tcW w:w="1402" w:type="dxa"/>
            <w:tcBorders>
              <w:bottom w:val="single" w:sz="4" w:space="0" w:color="auto"/>
              <w:right w:val="single" w:sz="4" w:space="0" w:color="auto"/>
            </w:tcBorders>
            <w:shd w:val="clear" w:color="auto" w:fill="663399"/>
            <w:vAlign w:val="center"/>
          </w:tcPr>
          <w:p w:rsidR="00403468" w:rsidRPr="00025B12" w:rsidRDefault="00403468"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br w:type="page"/>
            </w:r>
            <w:bookmarkStart w:id="53" w:name="I31"/>
            <w:r w:rsidRPr="00025B12">
              <w:rPr>
                <w:rFonts w:ascii="Verdana" w:eastAsiaTheme="minorHAnsi" w:hAnsi="Verdana" w:cstheme="minorBidi"/>
                <w:b/>
                <w:color w:val="FFFFFF" w:themeColor="background1"/>
                <w:sz w:val="18"/>
                <w:szCs w:val="18"/>
              </w:rPr>
              <w:t>I.3.</w:t>
            </w:r>
            <w:r w:rsidR="008D36D8" w:rsidRPr="00025B12">
              <w:rPr>
                <w:rFonts w:ascii="Verdana" w:eastAsiaTheme="minorHAnsi" w:hAnsi="Verdana" w:cstheme="minorBidi"/>
                <w:b/>
                <w:color w:val="FFFFFF" w:themeColor="background1"/>
                <w:sz w:val="18"/>
                <w:szCs w:val="18"/>
              </w:rPr>
              <w:t>d</w:t>
            </w:r>
            <w:r w:rsidRPr="00025B12">
              <w:rPr>
                <w:rFonts w:ascii="Verdana" w:eastAsiaTheme="minorHAnsi" w:hAnsi="Verdana" w:cstheme="minorBidi"/>
                <w:b/>
                <w:color w:val="FFFFFF" w:themeColor="background1"/>
                <w:sz w:val="18"/>
                <w:szCs w:val="18"/>
              </w:rPr>
              <w:t>1</w:t>
            </w:r>
            <w:bookmarkEnd w:id="53"/>
          </w:p>
        </w:tc>
        <w:tc>
          <w:tcPr>
            <w:tcW w:w="7886" w:type="dxa"/>
            <w:gridSpan w:val="4"/>
            <w:vMerge w:val="restart"/>
            <w:tcBorders>
              <w:top w:val="single" w:sz="4" w:space="0" w:color="auto"/>
              <w:left w:val="single" w:sz="4" w:space="0" w:color="auto"/>
              <w:right w:val="single" w:sz="4" w:space="0" w:color="auto"/>
            </w:tcBorders>
            <w:shd w:val="clear" w:color="auto" w:fill="663399"/>
            <w:vAlign w:val="center"/>
          </w:tcPr>
          <w:p w:rsidR="00403468" w:rsidRPr="00025B12" w:rsidRDefault="00403468" w:rsidP="00403468">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Legislativní rámec dalšího vzdělávání</w:t>
            </w:r>
          </w:p>
        </w:tc>
      </w:tr>
      <w:tr w:rsidR="00403468" w:rsidRPr="00025B12" w:rsidTr="00EA3FCA">
        <w:trPr>
          <w:trHeight w:val="360"/>
        </w:trPr>
        <w:tc>
          <w:tcPr>
            <w:tcW w:w="1402" w:type="dxa"/>
            <w:tcBorders>
              <w:top w:val="single" w:sz="4" w:space="0" w:color="auto"/>
              <w:bottom w:val="single" w:sz="4" w:space="0" w:color="auto"/>
              <w:right w:val="single" w:sz="4" w:space="0" w:color="auto"/>
            </w:tcBorders>
            <w:shd w:val="clear" w:color="auto" w:fill="663399"/>
            <w:vAlign w:val="center"/>
          </w:tcPr>
          <w:p w:rsidR="00403468" w:rsidRPr="00025B12" w:rsidRDefault="00615B61"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86" w:type="dxa"/>
            <w:gridSpan w:val="4"/>
            <w:vMerge/>
            <w:tcBorders>
              <w:left w:val="single" w:sz="4" w:space="0" w:color="auto"/>
              <w:bottom w:val="single" w:sz="4" w:space="0" w:color="auto"/>
              <w:right w:val="single"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123CB7">
        <w:trPr>
          <w:trHeight w:val="360"/>
        </w:trPr>
        <w:tc>
          <w:tcPr>
            <w:tcW w:w="1402" w:type="dxa"/>
            <w:tcBorders>
              <w:top w:val="single"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801"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72"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0"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63" w:type="dxa"/>
            <w:tcBorders>
              <w:top w:val="single" w:sz="4" w:space="0" w:color="auto"/>
              <w:left w:val="dotted" w:sz="4" w:space="0" w:color="auto"/>
              <w:bottom w:val="dotted" w:sz="4" w:space="0" w:color="auto"/>
            </w:tcBorders>
            <w:vAlign w:val="center"/>
          </w:tcPr>
          <w:p w:rsidR="00403468" w:rsidRPr="00025B12" w:rsidRDefault="00403468" w:rsidP="00123CB7">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03468" w:rsidRPr="00025B12" w:rsidTr="00EA3FCA">
        <w:trPr>
          <w:trHeight w:val="360"/>
        </w:trPr>
        <w:tc>
          <w:tcPr>
            <w:tcW w:w="1402" w:type="dxa"/>
            <w:tcBorders>
              <w:top w:val="dotted"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01" w:type="dxa"/>
            <w:tcBorders>
              <w:top w:val="dotted" w:sz="4" w:space="0" w:color="auto"/>
              <w:left w:val="dotted" w:sz="4" w:space="0" w:color="auto"/>
              <w:bottom w:val="dotted" w:sz="4" w:space="0" w:color="auto"/>
              <w:right w:val="dotted" w:sz="4" w:space="0" w:color="auto"/>
            </w:tcBorders>
            <w:vAlign w:val="center"/>
          </w:tcPr>
          <w:p w:rsidR="00403468" w:rsidRPr="00025B12" w:rsidRDefault="00665F1D" w:rsidP="00403468">
            <w:pPr>
              <w:spacing w:after="0" w:line="240" w:lineRule="auto"/>
              <w:jc w:val="center"/>
              <w:rPr>
                <w:rFonts w:ascii="Verdana" w:eastAsiaTheme="minorHAnsi" w:hAnsi="Verdana" w:cstheme="minorBidi"/>
                <w:sz w:val="18"/>
                <w:szCs w:val="18"/>
              </w:rPr>
            </w:pPr>
            <w:hyperlink w:anchor="VET" w:history="1">
              <w:r w:rsidR="00403468" w:rsidRPr="00025B12">
                <w:rPr>
                  <w:rStyle w:val="Hypertextovodkaz"/>
                  <w:rFonts w:ascii="Verdana" w:eastAsiaTheme="minorHAnsi" w:hAnsi="Verdana" w:cstheme="minorBidi"/>
                  <w:sz w:val="18"/>
                  <w:szCs w:val="18"/>
                </w:rPr>
                <w:t>VET in Europe - Country reports</w:t>
              </w:r>
            </w:hyperlink>
          </w:p>
        </w:tc>
        <w:tc>
          <w:tcPr>
            <w:tcW w:w="2272"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 xml:space="preserve">Cedefop </w:t>
            </w:r>
          </w:p>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(síť Refernet)</w:t>
            </w:r>
          </w:p>
        </w:tc>
        <w:tc>
          <w:tcPr>
            <w:tcW w:w="2150"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3" w:type="dxa"/>
            <w:tcBorders>
              <w:top w:val="dotted" w:sz="4" w:space="0" w:color="auto"/>
              <w:left w:val="dotted" w:sz="4" w:space="0" w:color="auto"/>
              <w:bottom w:val="dotted" w:sz="4" w:space="0" w:color="auto"/>
            </w:tcBorders>
            <w:vAlign w:val="center"/>
          </w:tcPr>
          <w:p w:rsidR="00403468" w:rsidRPr="00025B12" w:rsidRDefault="0090136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2005</w:t>
            </w:r>
          </w:p>
        </w:tc>
      </w:tr>
      <w:tr w:rsidR="00403468" w:rsidRPr="00025B12" w:rsidTr="00EA3FCA">
        <w:trPr>
          <w:trHeight w:val="360"/>
        </w:trPr>
        <w:tc>
          <w:tcPr>
            <w:tcW w:w="1402" w:type="dxa"/>
            <w:tcBorders>
              <w:top w:val="dotted"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01"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72"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50"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63" w:type="dxa"/>
            <w:tcBorders>
              <w:top w:val="dotted" w:sz="4" w:space="0" w:color="auto"/>
              <w:left w:val="dotted" w:sz="4" w:space="0" w:color="auto"/>
              <w:bottom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03468" w:rsidRPr="00025B12" w:rsidTr="00EA3FCA">
        <w:trPr>
          <w:trHeight w:val="360"/>
        </w:trPr>
        <w:tc>
          <w:tcPr>
            <w:tcW w:w="1402" w:type="dxa"/>
            <w:tcBorders>
              <w:top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01" w:type="dxa"/>
            <w:tcBorders>
              <w:top w:val="dotted" w:sz="4" w:space="0" w:color="auto"/>
              <w:left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72" w:type="dxa"/>
            <w:tcBorders>
              <w:top w:val="dotted" w:sz="4" w:space="0" w:color="auto"/>
              <w:left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50" w:type="dxa"/>
            <w:tcBorders>
              <w:top w:val="dotted" w:sz="4" w:space="0" w:color="auto"/>
              <w:left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63" w:type="dxa"/>
            <w:tcBorders>
              <w:top w:val="dotted" w:sz="4" w:space="0" w:color="auto"/>
              <w:lef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03468" w:rsidRPr="00025B12" w:rsidTr="00EA3FCA">
        <w:trPr>
          <w:trHeight w:val="274"/>
        </w:trPr>
        <w:tc>
          <w:tcPr>
            <w:tcW w:w="7625" w:type="dxa"/>
            <w:gridSpan w:val="4"/>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663" w:type="dxa"/>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A9209D">
        <w:trPr>
          <w:trHeight w:val="2091"/>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03468" w:rsidRPr="00025B12" w:rsidRDefault="00403468" w:rsidP="00403468">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Legislativní rámec dalšího vzdělávání silně ovlivňuje podmínky jeho rozvoje v dané zemi, proto by bylo dobré, aby monitoring dalšího vzdělávání tyto legislativní podmínky nějakým způsobem sledoval. Jedná se však o ukazatel ve vztahu k dalším indikátorům v rámci systému monitoringu výjimečný, neboť se snaží jednoduchým způsobem popsat informaci, která je ze své podstaty kvalitativní.</w:t>
            </w:r>
          </w:p>
        </w:tc>
      </w:tr>
      <w:tr w:rsidR="00403468" w:rsidRPr="00025B12" w:rsidTr="00A9209D">
        <w:trPr>
          <w:trHeight w:val="1979"/>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03468" w:rsidRPr="00025B12" w:rsidRDefault="00403468" w:rsidP="00960098">
            <w:pPr>
              <w:spacing w:after="0" w:line="312" w:lineRule="auto"/>
              <w:jc w:val="both"/>
              <w:rPr>
                <w:rFonts w:ascii="Verdana" w:eastAsiaTheme="minorHAnsi" w:hAnsi="Verdana" w:cstheme="minorBidi"/>
                <w:sz w:val="18"/>
                <w:szCs w:val="18"/>
              </w:rPr>
            </w:pPr>
            <w:r w:rsidRPr="00025B12">
              <w:rPr>
                <w:rFonts w:ascii="Verdana" w:eastAsiaTheme="minorHAnsi" w:hAnsi="Verdana" w:cstheme="minorBidi"/>
                <w:sz w:val="18"/>
                <w:szCs w:val="18"/>
              </w:rPr>
              <w:t>V rámci indikátoru je sledováno, zda v dané zemi existuje:</w:t>
            </w:r>
          </w:p>
          <w:p w:rsidR="00403468" w:rsidRPr="00025B12" w:rsidRDefault="00403468" w:rsidP="00960098">
            <w:pPr>
              <w:spacing w:after="0" w:line="312" w:lineRule="auto"/>
              <w:jc w:val="both"/>
              <w:rPr>
                <w:rFonts w:ascii="Verdana" w:eastAsiaTheme="minorHAnsi" w:hAnsi="Verdana" w:cstheme="minorBidi"/>
                <w:sz w:val="18"/>
                <w:szCs w:val="18"/>
              </w:rPr>
            </w:pPr>
            <w:r w:rsidRPr="00025B12">
              <w:rPr>
                <w:rFonts w:ascii="Verdana" w:eastAsiaTheme="minorHAnsi" w:hAnsi="Verdana" w:cstheme="minorBidi"/>
                <w:sz w:val="18"/>
                <w:szCs w:val="18"/>
              </w:rPr>
              <w:t>•</w:t>
            </w:r>
            <w:r w:rsidRPr="00025B12">
              <w:rPr>
                <w:rFonts w:ascii="Verdana" w:eastAsiaTheme="minorHAnsi" w:hAnsi="Verdana" w:cstheme="minorBidi"/>
                <w:sz w:val="18"/>
                <w:szCs w:val="18"/>
              </w:rPr>
              <w:tab/>
              <w:t>Specifický zákon o dalším vzdělávání</w:t>
            </w:r>
          </w:p>
          <w:p w:rsidR="00403468" w:rsidRPr="00025B12" w:rsidRDefault="00403468" w:rsidP="00960098">
            <w:pPr>
              <w:spacing w:after="0" w:line="312" w:lineRule="auto"/>
              <w:jc w:val="both"/>
              <w:rPr>
                <w:rFonts w:ascii="Verdana" w:eastAsiaTheme="minorHAnsi" w:hAnsi="Verdana" w:cstheme="minorBidi"/>
                <w:sz w:val="18"/>
                <w:szCs w:val="18"/>
              </w:rPr>
            </w:pPr>
            <w:r w:rsidRPr="00025B12">
              <w:rPr>
                <w:rFonts w:ascii="Verdana" w:eastAsiaTheme="minorHAnsi" w:hAnsi="Verdana" w:cstheme="minorBidi"/>
                <w:sz w:val="18"/>
                <w:szCs w:val="18"/>
              </w:rPr>
              <w:t>•</w:t>
            </w:r>
            <w:r w:rsidRPr="00025B12">
              <w:rPr>
                <w:rFonts w:ascii="Verdana" w:eastAsiaTheme="minorHAnsi" w:hAnsi="Verdana" w:cstheme="minorBidi"/>
                <w:sz w:val="18"/>
                <w:szCs w:val="18"/>
              </w:rPr>
              <w:tab/>
              <w:t>Finanční podpora dalšího vzdělávání</w:t>
            </w:r>
          </w:p>
          <w:p w:rsidR="00403468" w:rsidRPr="00025B12" w:rsidRDefault="00403468" w:rsidP="00403468">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w:t>
            </w:r>
            <w:r w:rsidRPr="00025B12">
              <w:rPr>
                <w:rFonts w:ascii="Verdana" w:eastAsiaTheme="minorHAnsi" w:hAnsi="Verdana" w:cstheme="minorBidi"/>
                <w:sz w:val="18"/>
                <w:szCs w:val="18"/>
              </w:rPr>
              <w:tab/>
              <w:t>Kolektivní smlouvy s odbory o dalším vzdělávání</w:t>
            </w:r>
          </w:p>
        </w:tc>
      </w:tr>
      <w:tr w:rsidR="00403468" w:rsidRPr="00025B12" w:rsidTr="00A9209D">
        <w:trPr>
          <w:trHeight w:val="1412"/>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03468" w:rsidRPr="00025B12" w:rsidRDefault="00403468" w:rsidP="00403468">
            <w:pPr>
              <w:spacing w:before="60" w:after="120" w:line="312" w:lineRule="auto"/>
              <w:jc w:val="both"/>
              <w:rPr>
                <w:rFonts w:ascii="Verdana" w:eastAsiaTheme="minorHAnsi" w:hAnsi="Verdana" w:cstheme="minorBidi"/>
                <w:sz w:val="18"/>
                <w:szCs w:val="18"/>
              </w:rPr>
            </w:pPr>
            <w:r w:rsidRPr="00025B12">
              <w:rPr>
                <w:rFonts w:ascii="Verdana" w:eastAsiaTheme="minorHAnsi" w:hAnsi="Verdana" w:cstheme="minorBidi"/>
                <w:sz w:val="18"/>
                <w:szCs w:val="18"/>
              </w:rPr>
              <w:t>Kvalitativní informace o legislativním rámci pro další odborné vzdělávání sledují každoročně „VET in Europe - Country reports“ shromažďované v rámci sítě ReferNet a publikované na stránkách Cedefop. Z těchto zpráv byl zpracován indikátor, který může poskytnout rámcovou představu o situaci v legislativě týkající se dalšího vzdělávání, pro podrobnější informaci je však třeba sledovat kvalitativní údaje obsažené přímo ve zprávách jednotlivých zemí. Problémem těchto kvalitativních informací je, že země nedodržují přesně stejnou strukturu, proto v některých případech není jasné, zda dané legislativní opatření v zemi skutečně neexistuje, nebo zda pouze díky opomenutí autorů není ve zprávě zmíněno. Pro lepší konstrukci indikátoru by bylo třeba zajistit striktní dodržování závazné struktury zprávy.</w:t>
            </w:r>
          </w:p>
        </w:tc>
      </w:tr>
      <w:tr w:rsidR="00403468" w:rsidRPr="00025B12" w:rsidTr="00A9209D">
        <w:trPr>
          <w:trHeight w:val="837"/>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sz w:val="18"/>
                <w:szCs w:val="18"/>
              </w:rPr>
              <w:t>-</w:t>
            </w:r>
          </w:p>
        </w:tc>
      </w:tr>
    </w:tbl>
    <w:p w:rsidR="00403468" w:rsidRPr="00025B12" w:rsidRDefault="00403468" w:rsidP="00403468"/>
    <w:p w:rsidR="00403468" w:rsidRPr="00025B12" w:rsidRDefault="00403468" w:rsidP="00403468">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07"/>
        <w:gridCol w:w="2276"/>
        <w:gridCol w:w="2155"/>
        <w:gridCol w:w="1667"/>
      </w:tblGrid>
      <w:tr w:rsidR="00403468" w:rsidRPr="00025B12" w:rsidTr="00A9209D">
        <w:trPr>
          <w:trHeight w:val="425"/>
        </w:trPr>
        <w:tc>
          <w:tcPr>
            <w:tcW w:w="1383" w:type="dxa"/>
            <w:tcBorders>
              <w:bottom w:val="single" w:sz="4" w:space="0" w:color="auto"/>
              <w:right w:val="single" w:sz="4" w:space="0" w:color="auto"/>
            </w:tcBorders>
            <w:shd w:val="clear" w:color="auto" w:fill="663399"/>
            <w:vAlign w:val="center"/>
          </w:tcPr>
          <w:p w:rsidR="00403468" w:rsidRPr="00025B12" w:rsidRDefault="00403468"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br w:type="page"/>
            </w:r>
            <w:bookmarkStart w:id="54" w:name="I32"/>
            <w:r w:rsidRPr="00025B12">
              <w:rPr>
                <w:rFonts w:ascii="Verdana" w:eastAsiaTheme="minorHAnsi" w:hAnsi="Verdana" w:cstheme="minorBidi"/>
                <w:b/>
                <w:color w:val="FFFFFF" w:themeColor="background1"/>
                <w:sz w:val="18"/>
                <w:szCs w:val="18"/>
              </w:rPr>
              <w:t>I.3.</w:t>
            </w:r>
            <w:r w:rsidR="008D36D8" w:rsidRPr="00025B12">
              <w:rPr>
                <w:rFonts w:ascii="Verdana" w:eastAsiaTheme="minorHAnsi" w:hAnsi="Verdana" w:cstheme="minorBidi"/>
                <w:b/>
                <w:color w:val="FFFFFF" w:themeColor="background1"/>
                <w:sz w:val="18"/>
                <w:szCs w:val="18"/>
              </w:rPr>
              <w:t>d</w:t>
            </w:r>
            <w:r w:rsidRPr="00025B12">
              <w:rPr>
                <w:rFonts w:ascii="Verdana" w:eastAsiaTheme="minorHAnsi" w:hAnsi="Verdana" w:cstheme="minorBidi"/>
                <w:b/>
                <w:color w:val="FFFFFF" w:themeColor="background1"/>
                <w:sz w:val="18"/>
                <w:szCs w:val="18"/>
              </w:rPr>
              <w:t>2</w:t>
            </w:r>
            <w:bookmarkEnd w:id="54"/>
          </w:p>
        </w:tc>
        <w:tc>
          <w:tcPr>
            <w:tcW w:w="7905" w:type="dxa"/>
            <w:gridSpan w:val="4"/>
            <w:vMerge w:val="restart"/>
            <w:tcBorders>
              <w:top w:val="single" w:sz="4" w:space="0" w:color="auto"/>
              <w:left w:val="single" w:sz="4" w:space="0" w:color="auto"/>
              <w:right w:val="single" w:sz="4" w:space="0" w:color="auto"/>
            </w:tcBorders>
            <w:shd w:val="clear" w:color="auto" w:fill="663399"/>
            <w:vAlign w:val="center"/>
          </w:tcPr>
          <w:p w:rsidR="00403468" w:rsidRPr="00025B12" w:rsidRDefault="00403468" w:rsidP="00403468">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Institucionální rámec dalšího vzdělávání</w:t>
            </w:r>
          </w:p>
        </w:tc>
      </w:tr>
      <w:tr w:rsidR="00403468" w:rsidRPr="00025B12" w:rsidTr="00A9209D">
        <w:trPr>
          <w:trHeight w:val="360"/>
        </w:trPr>
        <w:tc>
          <w:tcPr>
            <w:tcW w:w="1383" w:type="dxa"/>
            <w:tcBorders>
              <w:top w:val="single" w:sz="4" w:space="0" w:color="auto"/>
              <w:bottom w:val="single" w:sz="4" w:space="0" w:color="auto"/>
              <w:right w:val="single" w:sz="4" w:space="0" w:color="auto"/>
            </w:tcBorders>
            <w:shd w:val="clear" w:color="auto" w:fill="663399"/>
            <w:vAlign w:val="center"/>
          </w:tcPr>
          <w:p w:rsidR="00403468" w:rsidRPr="00025B12" w:rsidRDefault="00615B61"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905" w:type="dxa"/>
            <w:gridSpan w:val="4"/>
            <w:vMerge/>
            <w:tcBorders>
              <w:left w:val="single" w:sz="4" w:space="0" w:color="auto"/>
              <w:bottom w:val="single" w:sz="4" w:space="0" w:color="auto"/>
              <w:right w:val="single"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123CB7">
        <w:trPr>
          <w:trHeight w:val="360"/>
        </w:trPr>
        <w:tc>
          <w:tcPr>
            <w:tcW w:w="1383" w:type="dxa"/>
            <w:tcBorders>
              <w:top w:val="single"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807"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76"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5"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67" w:type="dxa"/>
            <w:tcBorders>
              <w:top w:val="single" w:sz="4" w:space="0" w:color="auto"/>
              <w:left w:val="dotted" w:sz="4" w:space="0" w:color="auto"/>
              <w:bottom w:val="dotted" w:sz="4" w:space="0" w:color="auto"/>
            </w:tcBorders>
            <w:vAlign w:val="center"/>
          </w:tcPr>
          <w:p w:rsidR="00403468" w:rsidRPr="00025B12" w:rsidRDefault="00403468" w:rsidP="00123CB7">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03468" w:rsidRPr="00025B12" w:rsidTr="00A9209D">
        <w:trPr>
          <w:trHeight w:val="360"/>
        </w:trPr>
        <w:tc>
          <w:tcPr>
            <w:tcW w:w="1383" w:type="dxa"/>
            <w:tcBorders>
              <w:top w:val="dotted"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07" w:type="dxa"/>
            <w:tcBorders>
              <w:top w:val="dotted" w:sz="4" w:space="0" w:color="auto"/>
              <w:left w:val="dotted" w:sz="4" w:space="0" w:color="auto"/>
              <w:bottom w:val="dotted" w:sz="4" w:space="0" w:color="auto"/>
              <w:right w:val="dotted" w:sz="4" w:space="0" w:color="auto"/>
            </w:tcBorders>
            <w:vAlign w:val="center"/>
          </w:tcPr>
          <w:p w:rsidR="00403468" w:rsidRPr="00025B12" w:rsidRDefault="00665F1D" w:rsidP="00403468">
            <w:pPr>
              <w:spacing w:after="0" w:line="240" w:lineRule="auto"/>
              <w:jc w:val="center"/>
              <w:rPr>
                <w:rFonts w:ascii="Verdana" w:eastAsiaTheme="minorHAnsi" w:hAnsi="Verdana" w:cstheme="minorBidi"/>
                <w:sz w:val="18"/>
                <w:szCs w:val="18"/>
              </w:rPr>
            </w:pPr>
            <w:hyperlink w:anchor="VET" w:history="1">
              <w:r w:rsidR="00265733" w:rsidRPr="00025B12">
                <w:rPr>
                  <w:rStyle w:val="Hypertextovodkaz"/>
                  <w:rFonts w:ascii="Verdana" w:eastAsiaTheme="minorHAnsi" w:hAnsi="Verdana" w:cstheme="minorBidi"/>
                  <w:sz w:val="18"/>
                  <w:szCs w:val="18"/>
                </w:rPr>
                <w:t>VET in Europe - Country reports</w:t>
              </w:r>
            </w:hyperlink>
          </w:p>
        </w:tc>
        <w:tc>
          <w:tcPr>
            <w:tcW w:w="2276"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 xml:space="preserve">Cedefop </w:t>
            </w:r>
          </w:p>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(síť Refernet)</w:t>
            </w:r>
          </w:p>
        </w:tc>
        <w:tc>
          <w:tcPr>
            <w:tcW w:w="2155"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bottom w:val="dotted" w:sz="4" w:space="0" w:color="auto"/>
            </w:tcBorders>
            <w:vAlign w:val="center"/>
          </w:tcPr>
          <w:p w:rsidR="00403468" w:rsidRPr="00025B12" w:rsidRDefault="00C94A3F"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2005</w:t>
            </w:r>
          </w:p>
        </w:tc>
      </w:tr>
      <w:tr w:rsidR="00403468" w:rsidRPr="00025B12" w:rsidTr="00A9209D">
        <w:trPr>
          <w:trHeight w:val="360"/>
        </w:trPr>
        <w:tc>
          <w:tcPr>
            <w:tcW w:w="1383" w:type="dxa"/>
            <w:tcBorders>
              <w:top w:val="dotted"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07"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76"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55"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67" w:type="dxa"/>
            <w:tcBorders>
              <w:top w:val="dotted" w:sz="4" w:space="0" w:color="auto"/>
              <w:left w:val="dotted" w:sz="4" w:space="0" w:color="auto"/>
              <w:bottom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03468" w:rsidRPr="00025B12" w:rsidTr="00A9209D">
        <w:trPr>
          <w:trHeight w:val="360"/>
        </w:trPr>
        <w:tc>
          <w:tcPr>
            <w:tcW w:w="1383" w:type="dxa"/>
            <w:tcBorders>
              <w:top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07" w:type="dxa"/>
            <w:tcBorders>
              <w:top w:val="dotted" w:sz="4" w:space="0" w:color="auto"/>
              <w:left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76" w:type="dxa"/>
            <w:tcBorders>
              <w:top w:val="dotted" w:sz="4" w:space="0" w:color="auto"/>
              <w:left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55" w:type="dxa"/>
            <w:tcBorders>
              <w:top w:val="dotted" w:sz="4" w:space="0" w:color="auto"/>
              <w:left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67" w:type="dxa"/>
            <w:tcBorders>
              <w:top w:val="dotted" w:sz="4" w:space="0" w:color="auto"/>
              <w:lef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03468" w:rsidRPr="00025B12" w:rsidTr="00A9209D">
        <w:trPr>
          <w:trHeight w:val="274"/>
        </w:trPr>
        <w:tc>
          <w:tcPr>
            <w:tcW w:w="7621" w:type="dxa"/>
            <w:gridSpan w:val="4"/>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667" w:type="dxa"/>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A9209D">
        <w:trPr>
          <w:trHeight w:val="2091"/>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03468" w:rsidRPr="00025B12" w:rsidRDefault="00403468" w:rsidP="00403468">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Institucionální rámec dalšího vzdělávání silně ovlivňuje podmínky jeho rozvoje v dané zemi, proto by bylo dobré, aby monitoring dalšího vzdělávání tyto podmínky nějakým způsobem sledoval. Jedná se však o ukazatel ve vztahu k dalším indikátorům v rámci systému monitoringu výjimečný, neboť se snaží jednoduchým způsobem popsat informaci, která je ze své podstaty kvalitativní.</w:t>
            </w:r>
          </w:p>
        </w:tc>
      </w:tr>
      <w:tr w:rsidR="00403468" w:rsidRPr="00025B12" w:rsidTr="00A9209D">
        <w:trPr>
          <w:trHeight w:val="1979"/>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03468" w:rsidRPr="00025B12" w:rsidRDefault="00403468" w:rsidP="00403468">
            <w:pPr>
              <w:jc w:val="both"/>
              <w:rPr>
                <w:rFonts w:ascii="Verdana" w:hAnsi="Verdana"/>
                <w:sz w:val="18"/>
                <w:szCs w:val="18"/>
              </w:rPr>
            </w:pPr>
            <w:r w:rsidRPr="00025B12">
              <w:rPr>
                <w:rFonts w:ascii="Verdana" w:hAnsi="Verdana"/>
                <w:sz w:val="18"/>
                <w:szCs w:val="18"/>
              </w:rPr>
              <w:t>V rámci indikátoru je sledováno, zda v zemi působí na úrovni státní správy:</w:t>
            </w:r>
          </w:p>
          <w:p w:rsidR="00403468" w:rsidRPr="00025B12" w:rsidRDefault="00403468" w:rsidP="005E2CC2">
            <w:pPr>
              <w:numPr>
                <w:ilvl w:val="0"/>
                <w:numId w:val="18"/>
              </w:numPr>
              <w:jc w:val="both"/>
              <w:rPr>
                <w:rFonts w:ascii="Verdana" w:hAnsi="Verdana"/>
                <w:sz w:val="18"/>
                <w:szCs w:val="18"/>
              </w:rPr>
            </w:pPr>
            <w:r w:rsidRPr="00025B12">
              <w:rPr>
                <w:rFonts w:ascii="Verdana" w:hAnsi="Verdana"/>
                <w:sz w:val="18"/>
                <w:szCs w:val="18"/>
              </w:rPr>
              <w:t>Specifická instituce, která se zabývá dalším vzděláváním</w:t>
            </w:r>
          </w:p>
          <w:p w:rsidR="00403468" w:rsidRPr="00025B12" w:rsidRDefault="00403468" w:rsidP="005E2CC2">
            <w:pPr>
              <w:numPr>
                <w:ilvl w:val="0"/>
                <w:numId w:val="18"/>
              </w:numPr>
              <w:jc w:val="both"/>
              <w:rPr>
                <w:rFonts w:ascii="Verdana" w:hAnsi="Verdana"/>
                <w:sz w:val="18"/>
                <w:szCs w:val="18"/>
              </w:rPr>
            </w:pPr>
            <w:r w:rsidRPr="00025B12">
              <w:rPr>
                <w:rFonts w:ascii="Verdana" w:hAnsi="Verdana"/>
                <w:sz w:val="18"/>
                <w:szCs w:val="18"/>
              </w:rPr>
              <w:t>Zda je další vzdělávání v kompetenci příslušných ministerstev</w:t>
            </w:r>
          </w:p>
        </w:tc>
      </w:tr>
      <w:tr w:rsidR="00403468" w:rsidRPr="00025B12" w:rsidTr="00A9209D">
        <w:trPr>
          <w:trHeight w:val="1412"/>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03468" w:rsidRPr="00025B12" w:rsidRDefault="00403468" w:rsidP="00F745BE">
            <w:pPr>
              <w:spacing w:before="60" w:after="120" w:line="312" w:lineRule="auto"/>
              <w:jc w:val="both"/>
              <w:rPr>
                <w:rFonts w:ascii="Verdana" w:eastAsiaTheme="minorHAnsi" w:hAnsi="Verdana" w:cstheme="minorBidi"/>
                <w:sz w:val="18"/>
                <w:szCs w:val="18"/>
              </w:rPr>
            </w:pPr>
            <w:r w:rsidRPr="00025B12">
              <w:rPr>
                <w:rFonts w:ascii="Verdana" w:eastAsiaTheme="minorHAnsi" w:hAnsi="Verdana" w:cstheme="minorBidi"/>
                <w:sz w:val="18"/>
                <w:szCs w:val="18"/>
              </w:rPr>
              <w:t>Kvalitativní informace o legislativním</w:t>
            </w:r>
            <w:r w:rsidR="00580963">
              <w:rPr>
                <w:rFonts w:ascii="Verdana" w:eastAsiaTheme="minorHAnsi" w:hAnsi="Verdana" w:cstheme="minorBidi"/>
                <w:sz w:val="18"/>
                <w:szCs w:val="18"/>
              </w:rPr>
              <w:t xml:space="preserve"> a institucionálním</w:t>
            </w:r>
            <w:r w:rsidRPr="00025B12">
              <w:rPr>
                <w:rFonts w:ascii="Verdana" w:eastAsiaTheme="minorHAnsi" w:hAnsi="Verdana" w:cstheme="minorBidi"/>
                <w:sz w:val="18"/>
                <w:szCs w:val="18"/>
              </w:rPr>
              <w:t xml:space="preserve"> rámci pro další odborné vzdělávání sledují každoročně „VET in Europe - Country reports“ shromažďované v rámci sítě ReferNet a publikované na stránkách Cedefop. Z těchto zpráv byl zpracován indikátor, který může poskytnout rámcovou představu o situaci v</w:t>
            </w:r>
            <w:r w:rsidR="00580963">
              <w:rPr>
                <w:rFonts w:ascii="Verdana" w:eastAsiaTheme="minorHAnsi" w:hAnsi="Verdana" w:cstheme="minorBidi"/>
                <w:sz w:val="18"/>
                <w:szCs w:val="18"/>
              </w:rPr>
              <w:t xml:space="preserve"> institucionálním zajištění</w:t>
            </w:r>
            <w:r w:rsidRPr="00025B12">
              <w:rPr>
                <w:rFonts w:ascii="Verdana" w:eastAsiaTheme="minorHAnsi" w:hAnsi="Verdana" w:cstheme="minorBidi"/>
                <w:sz w:val="18"/>
                <w:szCs w:val="18"/>
              </w:rPr>
              <w:t xml:space="preserve"> dalšího vzdělávání, pro podrobnější informaci je však třeba sledovat kvalitativní údaje obsažené přímo ve zprávách jednotlivých zemí. Problémem těchto kvalitativních informací je, že země nedodržují přesně stejnou strukturu, proto v některých případech není jasné, zda dané </w:t>
            </w:r>
            <w:r w:rsidR="00580963">
              <w:rPr>
                <w:rFonts w:ascii="Verdana" w:eastAsiaTheme="minorHAnsi" w:hAnsi="Verdana" w:cstheme="minorBidi"/>
                <w:sz w:val="18"/>
                <w:szCs w:val="18"/>
              </w:rPr>
              <w:t>institucionální zajištění</w:t>
            </w:r>
            <w:r w:rsidRPr="00025B12">
              <w:rPr>
                <w:rFonts w:ascii="Verdana" w:eastAsiaTheme="minorHAnsi" w:hAnsi="Verdana" w:cstheme="minorBidi"/>
                <w:sz w:val="18"/>
                <w:szCs w:val="18"/>
              </w:rPr>
              <w:t xml:space="preserve"> v zemi skutečně neexistuje, nebo zda pouze díky opomenutí autorů není ve zprávě zmíněno. Pro lepší konstrukci indikátoru by bylo třeba zajistit striktní dodržování závazné struktury zprávy.</w:t>
            </w:r>
          </w:p>
        </w:tc>
      </w:tr>
      <w:tr w:rsidR="00403468" w:rsidRPr="00025B12" w:rsidTr="00A9209D">
        <w:trPr>
          <w:trHeight w:val="837"/>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sz w:val="18"/>
                <w:szCs w:val="18"/>
              </w:rPr>
              <w:t>-</w:t>
            </w:r>
          </w:p>
        </w:tc>
      </w:tr>
    </w:tbl>
    <w:p w:rsidR="00403468" w:rsidRPr="00025B12" w:rsidRDefault="00403468" w:rsidP="00403468"/>
    <w:p w:rsidR="00C43089" w:rsidRPr="00025B12" w:rsidRDefault="00C43089" w:rsidP="00C43089">
      <w:pPr>
        <w:jc w:val="both"/>
        <w:rPr>
          <w:rFonts w:ascii="Verdana" w:hAnsi="Verdana"/>
          <w:sz w:val="20"/>
          <w:szCs w:val="20"/>
        </w:rPr>
      </w:pPr>
    </w:p>
    <w:p w:rsidR="00C43089" w:rsidRPr="00025B12" w:rsidRDefault="00403468" w:rsidP="000C6631">
      <w:pPr>
        <w:jc w:val="both"/>
        <w:outlineLvl w:val="0"/>
        <w:rPr>
          <w:rFonts w:ascii="Verdana" w:hAnsi="Verdana"/>
          <w:b/>
          <w:sz w:val="24"/>
          <w:szCs w:val="24"/>
        </w:rPr>
      </w:pPr>
      <w:r w:rsidRPr="00025B12">
        <w:rPr>
          <w:rFonts w:ascii="Verdana" w:hAnsi="Verdana"/>
          <w:b/>
          <w:sz w:val="24"/>
          <w:szCs w:val="24"/>
        </w:rPr>
        <w:br w:type="page"/>
      </w:r>
      <w:r w:rsidR="00C43089" w:rsidRPr="00025B12">
        <w:rPr>
          <w:rFonts w:ascii="Verdana" w:hAnsi="Verdana"/>
          <w:b/>
          <w:sz w:val="24"/>
          <w:szCs w:val="24"/>
        </w:rPr>
        <w:lastRenderedPageBreak/>
        <w:t>I.4 Situace na trhu práce</w:t>
      </w:r>
    </w:p>
    <w:p w:rsidR="00E21A26" w:rsidRPr="00025B12" w:rsidRDefault="00E21A26" w:rsidP="000C6631">
      <w:pPr>
        <w:jc w:val="both"/>
        <w:outlineLvl w:val="0"/>
        <w:rPr>
          <w:rFonts w:ascii="Verdana" w:hAnsi="Verdan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07"/>
        <w:gridCol w:w="2276"/>
        <w:gridCol w:w="2155"/>
        <w:gridCol w:w="1667"/>
      </w:tblGrid>
      <w:tr w:rsidR="00403468" w:rsidRPr="00025B12" w:rsidTr="00A9209D">
        <w:trPr>
          <w:trHeight w:val="425"/>
        </w:trPr>
        <w:tc>
          <w:tcPr>
            <w:tcW w:w="1383" w:type="dxa"/>
            <w:tcBorders>
              <w:bottom w:val="single" w:sz="4" w:space="0" w:color="auto"/>
              <w:right w:val="single" w:sz="4" w:space="0" w:color="auto"/>
            </w:tcBorders>
            <w:shd w:val="clear" w:color="auto" w:fill="663399"/>
            <w:vAlign w:val="center"/>
          </w:tcPr>
          <w:p w:rsidR="00403468" w:rsidRPr="00025B12" w:rsidRDefault="00403468"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br w:type="page"/>
            </w:r>
            <w:bookmarkStart w:id="55" w:name="I41"/>
            <w:r w:rsidRPr="00025B12">
              <w:rPr>
                <w:rFonts w:ascii="Verdana" w:eastAsiaTheme="minorHAnsi" w:hAnsi="Verdana" w:cstheme="minorBidi"/>
                <w:b/>
                <w:color w:val="FFFFFF" w:themeColor="background1"/>
                <w:sz w:val="18"/>
                <w:szCs w:val="18"/>
              </w:rPr>
              <w:t>I.4.1</w:t>
            </w:r>
            <w:bookmarkEnd w:id="55"/>
          </w:p>
        </w:tc>
        <w:tc>
          <w:tcPr>
            <w:tcW w:w="7905" w:type="dxa"/>
            <w:gridSpan w:val="4"/>
            <w:vMerge w:val="restart"/>
            <w:tcBorders>
              <w:top w:val="single" w:sz="4" w:space="0" w:color="auto"/>
              <w:left w:val="single" w:sz="4" w:space="0" w:color="auto"/>
              <w:right w:val="single" w:sz="4" w:space="0" w:color="auto"/>
            </w:tcBorders>
            <w:shd w:val="clear" w:color="auto" w:fill="663399"/>
            <w:vAlign w:val="center"/>
          </w:tcPr>
          <w:p w:rsidR="00403468" w:rsidRPr="00025B12" w:rsidRDefault="00403468" w:rsidP="00940374">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Míra ekonomické aktivity</w:t>
            </w:r>
          </w:p>
        </w:tc>
      </w:tr>
      <w:tr w:rsidR="00403468" w:rsidRPr="00025B12" w:rsidTr="00A9209D">
        <w:trPr>
          <w:trHeight w:val="360"/>
        </w:trPr>
        <w:tc>
          <w:tcPr>
            <w:tcW w:w="1383" w:type="dxa"/>
            <w:tcBorders>
              <w:top w:val="single" w:sz="4" w:space="0" w:color="auto"/>
              <w:bottom w:val="single" w:sz="4" w:space="0" w:color="auto"/>
              <w:right w:val="single" w:sz="4" w:space="0" w:color="auto"/>
            </w:tcBorders>
            <w:shd w:val="clear" w:color="auto" w:fill="663399"/>
            <w:vAlign w:val="center"/>
          </w:tcPr>
          <w:p w:rsidR="00403468" w:rsidRPr="00025B12" w:rsidRDefault="00615B61"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905" w:type="dxa"/>
            <w:gridSpan w:val="4"/>
            <w:vMerge/>
            <w:tcBorders>
              <w:left w:val="single" w:sz="4" w:space="0" w:color="auto"/>
              <w:bottom w:val="single" w:sz="4" w:space="0" w:color="auto"/>
              <w:right w:val="single"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123CB7">
        <w:trPr>
          <w:trHeight w:val="360"/>
        </w:trPr>
        <w:tc>
          <w:tcPr>
            <w:tcW w:w="1383" w:type="dxa"/>
            <w:tcBorders>
              <w:top w:val="single"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807"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76"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5"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67" w:type="dxa"/>
            <w:tcBorders>
              <w:top w:val="single" w:sz="4" w:space="0" w:color="auto"/>
              <w:left w:val="dotted" w:sz="4" w:space="0" w:color="auto"/>
              <w:bottom w:val="dotted" w:sz="4" w:space="0" w:color="auto"/>
            </w:tcBorders>
            <w:vAlign w:val="center"/>
          </w:tcPr>
          <w:p w:rsidR="00403468" w:rsidRPr="00025B12" w:rsidRDefault="00403468" w:rsidP="00123CB7">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053437" w:rsidRPr="00025B12" w:rsidTr="00A9209D">
        <w:trPr>
          <w:trHeight w:val="360"/>
        </w:trPr>
        <w:tc>
          <w:tcPr>
            <w:tcW w:w="1383" w:type="dxa"/>
            <w:tcBorders>
              <w:top w:val="dotted" w:sz="4" w:space="0" w:color="auto"/>
              <w:bottom w:val="dotted" w:sz="4" w:space="0" w:color="auto"/>
              <w:right w:val="dotted" w:sz="4" w:space="0" w:color="auto"/>
            </w:tcBorders>
          </w:tcPr>
          <w:p w:rsidR="00053437" w:rsidRPr="00025B12" w:rsidRDefault="00053437"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07" w:type="dxa"/>
            <w:tcBorders>
              <w:top w:val="dotted" w:sz="4" w:space="0" w:color="auto"/>
              <w:left w:val="dotted" w:sz="4" w:space="0" w:color="auto"/>
              <w:bottom w:val="dotted" w:sz="4" w:space="0" w:color="auto"/>
              <w:right w:val="dotted" w:sz="4" w:space="0" w:color="auto"/>
            </w:tcBorders>
            <w:vAlign w:val="center"/>
          </w:tcPr>
          <w:p w:rsidR="00053437" w:rsidRPr="00025B12" w:rsidRDefault="00665F1D" w:rsidP="00672756">
            <w:pPr>
              <w:spacing w:after="0" w:line="240" w:lineRule="auto"/>
              <w:jc w:val="center"/>
              <w:rPr>
                <w:rFonts w:ascii="Verdana" w:eastAsiaTheme="minorHAnsi" w:hAnsi="Verdana" w:cstheme="minorBidi"/>
                <w:sz w:val="18"/>
                <w:szCs w:val="18"/>
              </w:rPr>
            </w:pPr>
            <w:hyperlink w:anchor="VŠPS" w:history="1">
              <w:r w:rsidR="00053437"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bottom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55" w:type="dxa"/>
            <w:tcBorders>
              <w:top w:val="dotted" w:sz="4" w:space="0" w:color="auto"/>
              <w:left w:val="dotted" w:sz="4" w:space="0" w:color="auto"/>
              <w:bottom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bottom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1998</w:t>
            </w:r>
          </w:p>
        </w:tc>
      </w:tr>
      <w:tr w:rsidR="00053437" w:rsidRPr="00025B12" w:rsidTr="00A9209D">
        <w:trPr>
          <w:trHeight w:val="360"/>
        </w:trPr>
        <w:tc>
          <w:tcPr>
            <w:tcW w:w="1383" w:type="dxa"/>
            <w:tcBorders>
              <w:top w:val="dotted" w:sz="4" w:space="0" w:color="auto"/>
              <w:bottom w:val="dotted" w:sz="4" w:space="0" w:color="auto"/>
              <w:right w:val="dotted" w:sz="4" w:space="0" w:color="auto"/>
            </w:tcBorders>
          </w:tcPr>
          <w:p w:rsidR="00053437" w:rsidRPr="00025B12" w:rsidRDefault="00053437"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07" w:type="dxa"/>
            <w:tcBorders>
              <w:top w:val="dotted" w:sz="4" w:space="0" w:color="auto"/>
              <w:left w:val="dotted" w:sz="4" w:space="0" w:color="auto"/>
              <w:bottom w:val="dotted" w:sz="4" w:space="0" w:color="auto"/>
              <w:right w:val="dotted" w:sz="4" w:space="0" w:color="auto"/>
            </w:tcBorders>
            <w:vAlign w:val="center"/>
          </w:tcPr>
          <w:p w:rsidR="00053437" w:rsidRPr="00025B12" w:rsidRDefault="00665F1D" w:rsidP="00672756">
            <w:pPr>
              <w:spacing w:after="0" w:line="240" w:lineRule="auto"/>
              <w:jc w:val="center"/>
              <w:rPr>
                <w:rFonts w:ascii="Verdana" w:eastAsiaTheme="minorHAnsi" w:hAnsi="Verdana" w:cstheme="minorBidi"/>
                <w:sz w:val="18"/>
                <w:szCs w:val="18"/>
              </w:rPr>
            </w:pPr>
            <w:hyperlink w:anchor="VŠPS" w:history="1">
              <w:r w:rsidR="00053437"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bottom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5" w:type="dxa"/>
            <w:tcBorders>
              <w:top w:val="dotted" w:sz="4" w:space="0" w:color="auto"/>
              <w:left w:val="dotted" w:sz="4" w:space="0" w:color="auto"/>
              <w:bottom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bottom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w:t>
            </w:r>
            <w:r w:rsidR="00C94A3F" w:rsidRPr="00025B12">
              <w:rPr>
                <w:rFonts w:ascii="Verdana" w:eastAsiaTheme="minorHAnsi" w:hAnsi="Verdana" w:cstheme="minorBidi"/>
                <w:sz w:val="18"/>
                <w:szCs w:val="18"/>
              </w:rPr>
              <w:t>5</w:t>
            </w:r>
          </w:p>
        </w:tc>
      </w:tr>
      <w:tr w:rsidR="00053437" w:rsidRPr="00025B12" w:rsidTr="00A9209D">
        <w:trPr>
          <w:trHeight w:val="360"/>
        </w:trPr>
        <w:tc>
          <w:tcPr>
            <w:tcW w:w="1383" w:type="dxa"/>
            <w:tcBorders>
              <w:top w:val="dotted" w:sz="4" w:space="0" w:color="auto"/>
              <w:right w:val="dotted" w:sz="4" w:space="0" w:color="auto"/>
            </w:tcBorders>
          </w:tcPr>
          <w:p w:rsidR="00053437" w:rsidRPr="00025B12" w:rsidRDefault="00053437"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07" w:type="dxa"/>
            <w:tcBorders>
              <w:top w:val="dotted" w:sz="4" w:space="0" w:color="auto"/>
              <w:left w:val="dotted" w:sz="4" w:space="0" w:color="auto"/>
              <w:right w:val="dotted" w:sz="4" w:space="0" w:color="auto"/>
            </w:tcBorders>
            <w:vAlign w:val="center"/>
          </w:tcPr>
          <w:p w:rsidR="00053437" w:rsidRPr="00025B12" w:rsidRDefault="00665F1D" w:rsidP="00672756">
            <w:pPr>
              <w:spacing w:after="0" w:line="240" w:lineRule="auto"/>
              <w:jc w:val="center"/>
              <w:rPr>
                <w:rFonts w:ascii="Verdana" w:eastAsiaTheme="minorHAnsi" w:hAnsi="Verdana" w:cstheme="minorBidi"/>
                <w:sz w:val="18"/>
                <w:szCs w:val="18"/>
              </w:rPr>
            </w:pPr>
            <w:hyperlink w:anchor="VŠPS" w:history="1">
              <w:r w:rsidR="00053437"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5" w:type="dxa"/>
            <w:tcBorders>
              <w:top w:val="dotted" w:sz="4" w:space="0" w:color="auto"/>
              <w:left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w:t>
            </w:r>
            <w:r w:rsidR="00C94A3F" w:rsidRPr="00025B12">
              <w:rPr>
                <w:rFonts w:ascii="Verdana" w:eastAsiaTheme="minorHAnsi" w:hAnsi="Verdana" w:cstheme="minorBidi"/>
                <w:sz w:val="18"/>
                <w:szCs w:val="18"/>
              </w:rPr>
              <w:t>5</w:t>
            </w:r>
          </w:p>
        </w:tc>
      </w:tr>
      <w:tr w:rsidR="00403468" w:rsidRPr="00025B12" w:rsidTr="00A9209D">
        <w:trPr>
          <w:trHeight w:val="274"/>
        </w:trPr>
        <w:tc>
          <w:tcPr>
            <w:tcW w:w="7621" w:type="dxa"/>
            <w:gridSpan w:val="4"/>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667" w:type="dxa"/>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A9209D">
        <w:trPr>
          <w:trHeight w:val="2091"/>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03468" w:rsidRPr="00025B12" w:rsidRDefault="00403468" w:rsidP="00403468">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Míra ekonomické aktivity populace souvisí s jejím vzděláním. Vzdělanější lidé jsou ekonomi</w:t>
            </w:r>
            <w:r w:rsidR="0080218D">
              <w:rPr>
                <w:rFonts w:ascii="Verdana" w:eastAsiaTheme="minorHAnsi" w:hAnsi="Verdana" w:cstheme="minorBidi"/>
                <w:sz w:val="18"/>
                <w:szCs w:val="18"/>
              </w:rPr>
              <w:t>cky aktivnější než méně vzdělaní</w:t>
            </w:r>
            <w:r w:rsidRPr="00025B12">
              <w:rPr>
                <w:rFonts w:ascii="Verdana" w:eastAsiaTheme="minorHAnsi" w:hAnsi="Verdana" w:cstheme="minorBidi"/>
                <w:sz w:val="18"/>
                <w:szCs w:val="18"/>
              </w:rPr>
              <w:t>, u kterých je často ekonomická neaktivita určitou alternativou nezaměstnanosti. Ekonomicky aktivní populace má více příležitostí k dalšímu vzdělávání (ať už v případě zaměstnaných v rámci podnikového vzdělávání, tak v případě nezaměstnaných prostřednictvím programů poskytovaných úřady práce). Zároveň další vzdělávání vede k lepší zaměstnatelnosti a vyšší míře ekonomické aktivity.</w:t>
            </w:r>
          </w:p>
        </w:tc>
      </w:tr>
      <w:tr w:rsidR="00403468" w:rsidRPr="00025B12" w:rsidTr="00A9209D">
        <w:trPr>
          <w:trHeight w:val="1979"/>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03468" w:rsidRPr="00025B12" w:rsidRDefault="00403468" w:rsidP="0099398D">
            <w:pPr>
              <w:spacing w:before="60" w:after="120" w:line="312" w:lineRule="auto"/>
              <w:jc w:val="both"/>
              <w:rPr>
                <w:rFonts w:ascii="Verdana" w:hAnsi="Verdana"/>
                <w:sz w:val="18"/>
                <w:szCs w:val="18"/>
              </w:rPr>
            </w:pPr>
            <w:r w:rsidRPr="00025B12">
              <w:rPr>
                <w:rFonts w:ascii="Verdana" w:eastAsiaTheme="minorHAnsi" w:hAnsi="Verdana" w:cstheme="minorBidi"/>
                <w:sz w:val="18"/>
                <w:szCs w:val="18"/>
              </w:rPr>
              <w:t>Míra ekonomické aktivity (někdy též nazývána míra participace) je počítána jako podíl ekonomicky aktivních (tedy zaměstnaných a nezaměstnaných) na cel</w:t>
            </w:r>
            <w:r w:rsidR="00AD2809" w:rsidRPr="00025B12">
              <w:rPr>
                <w:rFonts w:ascii="Verdana" w:eastAsiaTheme="minorHAnsi" w:hAnsi="Verdana" w:cstheme="minorBidi"/>
                <w:sz w:val="18"/>
                <w:szCs w:val="18"/>
              </w:rPr>
              <w:t>é populaci. Indikátor uvádí míru</w:t>
            </w:r>
            <w:r w:rsidRPr="00025B12">
              <w:rPr>
                <w:rFonts w:ascii="Verdana" w:eastAsiaTheme="minorHAnsi" w:hAnsi="Verdana" w:cstheme="minorBidi"/>
                <w:sz w:val="18"/>
                <w:szCs w:val="18"/>
              </w:rPr>
              <w:t xml:space="preserve"> ekonomické aktivity populace 15-64, která je mezinárodně nejčastěji používána. Omezení horní hranice na 64 let má tu výhodu, že není indikátor ovlivněn věkovou strukturou obyvatelstva (podílem lidí v důchodovém věku v populaci). Na spodní hranici naopak indikátor může být ovlivněn mírou participace na počátečním vzdělávání.</w:t>
            </w:r>
          </w:p>
        </w:tc>
      </w:tr>
      <w:tr w:rsidR="00403468" w:rsidRPr="00025B12" w:rsidTr="00A9209D">
        <w:trPr>
          <w:trHeight w:val="1412"/>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03468" w:rsidRPr="00025B12" w:rsidRDefault="00403468" w:rsidP="00403468">
            <w:pPr>
              <w:spacing w:before="60" w:after="120" w:line="312" w:lineRule="auto"/>
              <w:jc w:val="both"/>
              <w:rPr>
                <w:rFonts w:ascii="Verdana" w:eastAsiaTheme="minorHAnsi" w:hAnsi="Verdana" w:cstheme="minorBidi"/>
                <w:sz w:val="18"/>
                <w:szCs w:val="18"/>
              </w:rPr>
            </w:pPr>
            <w:r w:rsidRPr="00025B12">
              <w:rPr>
                <w:rFonts w:ascii="Verdana" w:eastAsiaTheme="minorHAnsi" w:hAnsi="Verdana" w:cstheme="minorBidi"/>
                <w:sz w:val="18"/>
                <w:szCs w:val="18"/>
              </w:rPr>
              <w:t>Data použitá pro výpočet indikátoru pocházejí z Výběrového šetření pracovních sil. Pro mezinárodní srovnání jsou data přebírána v nezměněné podobě z webových stránek Eurostatu. Pro regionální srovnání jsou dopočítávána z mikrodat, protože ČSÚ publikuje míry v krajském členění pouze pro populaci 15+.</w:t>
            </w:r>
          </w:p>
        </w:tc>
      </w:tr>
      <w:tr w:rsidR="00403468" w:rsidRPr="00025B12" w:rsidTr="00A9209D">
        <w:trPr>
          <w:trHeight w:val="837"/>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sz w:val="18"/>
                <w:szCs w:val="18"/>
              </w:rPr>
              <w:t>-</w:t>
            </w:r>
          </w:p>
        </w:tc>
      </w:tr>
    </w:tbl>
    <w:p w:rsidR="00403468" w:rsidRPr="00025B12" w:rsidRDefault="00403468" w:rsidP="00403468"/>
    <w:p w:rsidR="00403468" w:rsidRPr="00025B12" w:rsidRDefault="00403468" w:rsidP="00403468">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07"/>
        <w:gridCol w:w="2276"/>
        <w:gridCol w:w="2155"/>
        <w:gridCol w:w="1667"/>
      </w:tblGrid>
      <w:tr w:rsidR="00403468" w:rsidRPr="00025B12" w:rsidTr="00A9209D">
        <w:trPr>
          <w:trHeight w:val="425"/>
        </w:trPr>
        <w:tc>
          <w:tcPr>
            <w:tcW w:w="1383" w:type="dxa"/>
            <w:tcBorders>
              <w:bottom w:val="single" w:sz="4" w:space="0" w:color="auto"/>
              <w:right w:val="single" w:sz="4" w:space="0" w:color="auto"/>
            </w:tcBorders>
            <w:shd w:val="clear" w:color="auto" w:fill="663399"/>
            <w:vAlign w:val="center"/>
          </w:tcPr>
          <w:p w:rsidR="00403468" w:rsidRPr="00025B12" w:rsidRDefault="00403468"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br w:type="page"/>
            </w:r>
            <w:bookmarkStart w:id="56" w:name="I42"/>
            <w:r w:rsidRPr="00025B12">
              <w:rPr>
                <w:rFonts w:ascii="Verdana" w:eastAsiaTheme="minorHAnsi" w:hAnsi="Verdana" w:cstheme="minorBidi"/>
                <w:b/>
                <w:color w:val="FFFFFF" w:themeColor="background1"/>
                <w:sz w:val="18"/>
                <w:szCs w:val="18"/>
              </w:rPr>
              <w:t>I.4.2</w:t>
            </w:r>
            <w:bookmarkEnd w:id="56"/>
          </w:p>
        </w:tc>
        <w:tc>
          <w:tcPr>
            <w:tcW w:w="7905" w:type="dxa"/>
            <w:gridSpan w:val="4"/>
            <w:vMerge w:val="restart"/>
            <w:tcBorders>
              <w:top w:val="single" w:sz="4" w:space="0" w:color="auto"/>
              <w:left w:val="single" w:sz="4" w:space="0" w:color="auto"/>
              <w:right w:val="single" w:sz="4" w:space="0" w:color="auto"/>
            </w:tcBorders>
            <w:shd w:val="clear" w:color="auto" w:fill="663399"/>
            <w:vAlign w:val="center"/>
          </w:tcPr>
          <w:p w:rsidR="00403468" w:rsidRPr="00025B12" w:rsidRDefault="00403468" w:rsidP="00940374">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Míra nezaměstnanosti</w:t>
            </w:r>
          </w:p>
        </w:tc>
      </w:tr>
      <w:tr w:rsidR="00403468" w:rsidRPr="00025B12" w:rsidTr="00A9209D">
        <w:trPr>
          <w:trHeight w:val="360"/>
        </w:trPr>
        <w:tc>
          <w:tcPr>
            <w:tcW w:w="1383" w:type="dxa"/>
            <w:tcBorders>
              <w:top w:val="single" w:sz="4" w:space="0" w:color="auto"/>
              <w:bottom w:val="single" w:sz="4" w:space="0" w:color="auto"/>
              <w:right w:val="single" w:sz="4" w:space="0" w:color="auto"/>
            </w:tcBorders>
            <w:shd w:val="clear" w:color="auto" w:fill="663399"/>
            <w:vAlign w:val="center"/>
          </w:tcPr>
          <w:p w:rsidR="00403468" w:rsidRPr="00025B12" w:rsidRDefault="00615B61"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905" w:type="dxa"/>
            <w:gridSpan w:val="4"/>
            <w:vMerge/>
            <w:tcBorders>
              <w:left w:val="single" w:sz="4" w:space="0" w:color="auto"/>
              <w:bottom w:val="single" w:sz="4" w:space="0" w:color="auto"/>
              <w:right w:val="single"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123CB7">
        <w:trPr>
          <w:trHeight w:val="360"/>
        </w:trPr>
        <w:tc>
          <w:tcPr>
            <w:tcW w:w="1383" w:type="dxa"/>
            <w:tcBorders>
              <w:top w:val="single"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807"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76"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5"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67" w:type="dxa"/>
            <w:tcBorders>
              <w:top w:val="single" w:sz="4" w:space="0" w:color="auto"/>
              <w:left w:val="dotted" w:sz="4" w:space="0" w:color="auto"/>
              <w:bottom w:val="dotted" w:sz="4" w:space="0" w:color="auto"/>
            </w:tcBorders>
            <w:vAlign w:val="center"/>
          </w:tcPr>
          <w:p w:rsidR="00403468" w:rsidRPr="00025B12" w:rsidRDefault="00403468" w:rsidP="00123CB7">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053437" w:rsidRPr="00025B12" w:rsidTr="00A9209D">
        <w:trPr>
          <w:trHeight w:val="360"/>
        </w:trPr>
        <w:tc>
          <w:tcPr>
            <w:tcW w:w="1383" w:type="dxa"/>
            <w:tcBorders>
              <w:top w:val="dotted" w:sz="4" w:space="0" w:color="auto"/>
              <w:bottom w:val="dotted" w:sz="4" w:space="0" w:color="auto"/>
              <w:right w:val="dotted" w:sz="4" w:space="0" w:color="auto"/>
            </w:tcBorders>
          </w:tcPr>
          <w:p w:rsidR="00053437" w:rsidRPr="00025B12" w:rsidRDefault="00053437"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07" w:type="dxa"/>
            <w:tcBorders>
              <w:top w:val="dotted" w:sz="4" w:space="0" w:color="auto"/>
              <w:left w:val="dotted" w:sz="4" w:space="0" w:color="auto"/>
              <w:bottom w:val="dotted" w:sz="4" w:space="0" w:color="auto"/>
              <w:right w:val="dotted" w:sz="4" w:space="0" w:color="auto"/>
            </w:tcBorders>
            <w:vAlign w:val="center"/>
          </w:tcPr>
          <w:p w:rsidR="00053437" w:rsidRPr="00025B12" w:rsidRDefault="00665F1D" w:rsidP="00672756">
            <w:pPr>
              <w:spacing w:after="0" w:line="240" w:lineRule="auto"/>
              <w:jc w:val="center"/>
              <w:rPr>
                <w:rFonts w:ascii="Verdana" w:eastAsiaTheme="minorHAnsi" w:hAnsi="Verdana" w:cstheme="minorBidi"/>
                <w:sz w:val="18"/>
                <w:szCs w:val="18"/>
              </w:rPr>
            </w:pPr>
            <w:hyperlink w:anchor="VŠPS" w:history="1">
              <w:r w:rsidR="00053437"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bottom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55" w:type="dxa"/>
            <w:tcBorders>
              <w:top w:val="dotted" w:sz="4" w:space="0" w:color="auto"/>
              <w:left w:val="dotted" w:sz="4" w:space="0" w:color="auto"/>
              <w:bottom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bottom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1998</w:t>
            </w:r>
          </w:p>
        </w:tc>
      </w:tr>
      <w:tr w:rsidR="00053437" w:rsidRPr="00025B12" w:rsidTr="00A9209D">
        <w:trPr>
          <w:trHeight w:val="360"/>
        </w:trPr>
        <w:tc>
          <w:tcPr>
            <w:tcW w:w="1383" w:type="dxa"/>
            <w:tcBorders>
              <w:top w:val="dotted" w:sz="4" w:space="0" w:color="auto"/>
              <w:bottom w:val="dotted" w:sz="4" w:space="0" w:color="auto"/>
              <w:right w:val="dotted" w:sz="4" w:space="0" w:color="auto"/>
            </w:tcBorders>
          </w:tcPr>
          <w:p w:rsidR="00053437" w:rsidRPr="00025B12" w:rsidRDefault="00053437"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07" w:type="dxa"/>
            <w:tcBorders>
              <w:top w:val="dotted" w:sz="4" w:space="0" w:color="auto"/>
              <w:left w:val="dotted" w:sz="4" w:space="0" w:color="auto"/>
              <w:bottom w:val="dotted" w:sz="4" w:space="0" w:color="auto"/>
              <w:right w:val="dotted" w:sz="4" w:space="0" w:color="auto"/>
            </w:tcBorders>
            <w:vAlign w:val="center"/>
          </w:tcPr>
          <w:p w:rsidR="00053437" w:rsidRPr="00025B12" w:rsidRDefault="00665F1D" w:rsidP="00672756">
            <w:pPr>
              <w:spacing w:after="0" w:line="240" w:lineRule="auto"/>
              <w:jc w:val="center"/>
              <w:rPr>
                <w:rFonts w:ascii="Verdana" w:eastAsiaTheme="minorHAnsi" w:hAnsi="Verdana" w:cstheme="minorBidi"/>
                <w:sz w:val="18"/>
                <w:szCs w:val="18"/>
              </w:rPr>
            </w:pPr>
            <w:hyperlink w:anchor="VŠPS" w:history="1">
              <w:r w:rsidR="00053437"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bottom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5" w:type="dxa"/>
            <w:tcBorders>
              <w:top w:val="dotted" w:sz="4" w:space="0" w:color="auto"/>
              <w:left w:val="dotted" w:sz="4" w:space="0" w:color="auto"/>
              <w:bottom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bottom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w:t>
            </w:r>
            <w:r w:rsidR="00C94A3F" w:rsidRPr="00025B12">
              <w:rPr>
                <w:rFonts w:ascii="Verdana" w:eastAsiaTheme="minorHAnsi" w:hAnsi="Verdana" w:cstheme="minorBidi"/>
                <w:sz w:val="18"/>
                <w:szCs w:val="18"/>
              </w:rPr>
              <w:t>5</w:t>
            </w:r>
          </w:p>
        </w:tc>
      </w:tr>
      <w:tr w:rsidR="00053437" w:rsidRPr="00025B12" w:rsidTr="00A9209D">
        <w:trPr>
          <w:trHeight w:val="360"/>
        </w:trPr>
        <w:tc>
          <w:tcPr>
            <w:tcW w:w="1383" w:type="dxa"/>
            <w:tcBorders>
              <w:top w:val="dotted" w:sz="4" w:space="0" w:color="auto"/>
              <w:right w:val="dotted" w:sz="4" w:space="0" w:color="auto"/>
            </w:tcBorders>
          </w:tcPr>
          <w:p w:rsidR="00053437" w:rsidRPr="00025B12" w:rsidRDefault="00053437"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07" w:type="dxa"/>
            <w:tcBorders>
              <w:top w:val="dotted" w:sz="4" w:space="0" w:color="auto"/>
              <w:left w:val="dotted" w:sz="4" w:space="0" w:color="auto"/>
              <w:right w:val="dotted" w:sz="4" w:space="0" w:color="auto"/>
            </w:tcBorders>
            <w:vAlign w:val="center"/>
          </w:tcPr>
          <w:p w:rsidR="00053437" w:rsidRPr="00025B12" w:rsidRDefault="00665F1D" w:rsidP="00672756">
            <w:pPr>
              <w:spacing w:after="0" w:line="240" w:lineRule="auto"/>
              <w:jc w:val="center"/>
              <w:rPr>
                <w:rFonts w:ascii="Verdana" w:eastAsiaTheme="minorHAnsi" w:hAnsi="Verdana" w:cstheme="minorBidi"/>
                <w:sz w:val="18"/>
                <w:szCs w:val="18"/>
              </w:rPr>
            </w:pPr>
            <w:hyperlink w:anchor="VŠPS" w:history="1">
              <w:r w:rsidR="00053437" w:rsidRPr="00025B12">
                <w:rPr>
                  <w:rStyle w:val="Hypertextovodkaz"/>
                  <w:rFonts w:ascii="Verdana" w:eastAsiaTheme="minorHAnsi" w:hAnsi="Verdana" w:cstheme="minorBidi"/>
                  <w:sz w:val="18"/>
                  <w:szCs w:val="18"/>
                </w:rPr>
                <w:t>LFS (VŠPS)</w:t>
              </w:r>
            </w:hyperlink>
          </w:p>
        </w:tc>
        <w:tc>
          <w:tcPr>
            <w:tcW w:w="2276" w:type="dxa"/>
            <w:tcBorders>
              <w:top w:val="dotted" w:sz="4" w:space="0" w:color="auto"/>
              <w:left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5" w:type="dxa"/>
            <w:tcBorders>
              <w:top w:val="dotted" w:sz="4" w:space="0" w:color="auto"/>
              <w:left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67" w:type="dxa"/>
            <w:tcBorders>
              <w:top w:val="dotted" w:sz="4" w:space="0" w:color="auto"/>
              <w:lef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199</w:t>
            </w:r>
            <w:r w:rsidR="00C94A3F" w:rsidRPr="00025B12">
              <w:rPr>
                <w:rFonts w:ascii="Verdana" w:eastAsiaTheme="minorHAnsi" w:hAnsi="Verdana" w:cstheme="minorBidi"/>
                <w:sz w:val="18"/>
                <w:szCs w:val="18"/>
              </w:rPr>
              <w:t>5</w:t>
            </w:r>
          </w:p>
        </w:tc>
      </w:tr>
      <w:tr w:rsidR="00403468" w:rsidRPr="00025B12" w:rsidTr="00A9209D">
        <w:trPr>
          <w:trHeight w:val="274"/>
        </w:trPr>
        <w:tc>
          <w:tcPr>
            <w:tcW w:w="7621" w:type="dxa"/>
            <w:gridSpan w:val="4"/>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667" w:type="dxa"/>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A9209D">
        <w:trPr>
          <w:trHeight w:val="2091"/>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03468" w:rsidRPr="00025B12" w:rsidRDefault="00403468" w:rsidP="00403468">
            <w:pPr>
              <w:spacing w:before="60" w:after="120" w:line="312" w:lineRule="auto"/>
              <w:jc w:val="both"/>
              <w:rPr>
                <w:rFonts w:ascii="Verdana" w:eastAsiaTheme="minorHAnsi" w:hAnsi="Verdana" w:cstheme="minorBidi"/>
                <w:b/>
                <w:sz w:val="18"/>
                <w:szCs w:val="18"/>
                <w:u w:val="single"/>
              </w:rPr>
            </w:pPr>
            <w:r w:rsidRPr="00025B12">
              <w:rPr>
                <w:rFonts w:ascii="Verdana" w:eastAsiaTheme="minorHAnsi" w:hAnsi="Verdana" w:cstheme="minorBidi"/>
                <w:sz w:val="18"/>
                <w:szCs w:val="18"/>
              </w:rPr>
              <w:t>Míra nezaměstnanosti dává další vzdělávání do kontextu ekonomické situace a situace na trhu práce v dané zemi a regionu. Zejména v případě strukturální nezaměstnanosti je indikátorem vzrůstající potřeby proměny kvalifikace pracovní síly. Z rostoucích měr nezaměstnanosti lze usuzovat na vyšší potřebu dalšího vzdělávání, u kterého však bude malá možnost účastníků hradit si jeho náklady individuálně, a tedy vzrůstající poptávka po veřejné podpoře dalšího vzdělávání.</w:t>
            </w:r>
          </w:p>
        </w:tc>
      </w:tr>
      <w:tr w:rsidR="00403468" w:rsidRPr="00025B12" w:rsidTr="00A9209D">
        <w:trPr>
          <w:trHeight w:val="1775"/>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03468" w:rsidRPr="00025B12" w:rsidRDefault="00403468" w:rsidP="00403468">
            <w:pPr>
              <w:spacing w:before="60" w:after="120" w:line="312" w:lineRule="auto"/>
              <w:jc w:val="both"/>
              <w:rPr>
                <w:rFonts w:ascii="Verdana" w:hAnsi="Verdana"/>
                <w:sz w:val="18"/>
                <w:szCs w:val="18"/>
              </w:rPr>
            </w:pPr>
            <w:r w:rsidRPr="00025B12">
              <w:rPr>
                <w:rFonts w:ascii="Verdana" w:eastAsiaTheme="minorHAnsi" w:hAnsi="Verdana" w:cstheme="minorBidi"/>
                <w:sz w:val="18"/>
                <w:szCs w:val="18"/>
              </w:rPr>
              <w:t>Míra nezaměstnanosti je počítána jako podíl počtu nezaměstnaných k pracovní síle (tedy zaměstnaných+nezaměstnaných). Podobně jako u míry ekonomické aktivity (indikátor I.4.1) se v mezinárodním měřítku používá nejčastěji míra nezaměstnanosti populace 15-64.</w:t>
            </w:r>
          </w:p>
        </w:tc>
      </w:tr>
      <w:tr w:rsidR="00403468" w:rsidRPr="00025B12" w:rsidTr="00A9209D">
        <w:trPr>
          <w:trHeight w:val="1412"/>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03468" w:rsidRPr="00025B12" w:rsidRDefault="00403468" w:rsidP="00403468">
            <w:pPr>
              <w:spacing w:before="60" w:after="120" w:line="312" w:lineRule="auto"/>
              <w:jc w:val="both"/>
              <w:rPr>
                <w:rFonts w:ascii="Verdana" w:eastAsiaTheme="minorHAnsi" w:hAnsi="Verdana" w:cstheme="minorBidi"/>
                <w:sz w:val="18"/>
                <w:szCs w:val="18"/>
              </w:rPr>
            </w:pPr>
            <w:r w:rsidRPr="00025B12">
              <w:rPr>
                <w:rFonts w:ascii="Verdana" w:eastAsiaTheme="minorHAnsi" w:hAnsi="Verdana" w:cstheme="minorBidi"/>
                <w:sz w:val="18"/>
                <w:szCs w:val="18"/>
              </w:rPr>
              <w:t>Data použitá pro výpočet indikátoru pocházejí z Výběrového šetření pracovních sil. Pro mezinárodní srovnání jsou data přebírána v nezměněné podobě z webových stránek Eurostatu. Pro regionální srovnání jsou dopočítávána z mikrodat, protože ČSÚ publikuje míry v krajském členění pouze pro populaci 15+.</w:t>
            </w:r>
          </w:p>
        </w:tc>
      </w:tr>
      <w:tr w:rsidR="00403468" w:rsidRPr="00025B12" w:rsidTr="00A9209D">
        <w:trPr>
          <w:trHeight w:val="837"/>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sz w:val="18"/>
                <w:szCs w:val="18"/>
              </w:rPr>
              <w:t>-</w:t>
            </w:r>
          </w:p>
        </w:tc>
      </w:tr>
    </w:tbl>
    <w:p w:rsidR="00403468" w:rsidRPr="00025B12" w:rsidRDefault="00403468" w:rsidP="00403468"/>
    <w:p w:rsidR="00403468" w:rsidRPr="00025B12" w:rsidRDefault="00403468" w:rsidP="00615B61">
      <w:pPr>
        <w:rPr>
          <w:rFonts w:ascii="Verdana" w:hAnsi="Verdana"/>
          <w:b/>
          <w:sz w:val="24"/>
          <w:szCs w:val="24"/>
        </w:rPr>
      </w:pPr>
      <w:r w:rsidRPr="00025B12">
        <w:br w:type="page"/>
      </w:r>
      <w:r w:rsidRPr="00025B12">
        <w:rPr>
          <w:rFonts w:ascii="Verdana" w:hAnsi="Verdana"/>
          <w:b/>
          <w:sz w:val="24"/>
          <w:szCs w:val="24"/>
        </w:rPr>
        <w:lastRenderedPageBreak/>
        <w:t>I.5 Kompetence dospělé populace a požadavky na ně</w:t>
      </w:r>
    </w:p>
    <w:p w:rsidR="00EA3FCA" w:rsidRPr="00025B12" w:rsidRDefault="00EA3FCA" w:rsidP="00615B61">
      <w:pPr>
        <w:rPr>
          <w:rFonts w:ascii="Verdana" w:hAnsi="Verdan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548"/>
        <w:gridCol w:w="2220"/>
        <w:gridCol w:w="2035"/>
        <w:gridCol w:w="2069"/>
      </w:tblGrid>
      <w:tr w:rsidR="00EA3FCA" w:rsidRPr="00025B12" w:rsidTr="00D131AA">
        <w:trPr>
          <w:trHeight w:val="425"/>
        </w:trPr>
        <w:tc>
          <w:tcPr>
            <w:tcW w:w="1416" w:type="dxa"/>
            <w:tcBorders>
              <w:bottom w:val="single" w:sz="4" w:space="0" w:color="auto"/>
              <w:right w:val="single" w:sz="4" w:space="0" w:color="auto"/>
            </w:tcBorders>
            <w:shd w:val="clear" w:color="auto" w:fill="663399"/>
            <w:vAlign w:val="center"/>
          </w:tcPr>
          <w:p w:rsidR="00EA3FCA" w:rsidRPr="00025B12" w:rsidRDefault="00EA3FCA"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br w:type="page"/>
            </w:r>
            <w:r w:rsidRPr="00025B12">
              <w:rPr>
                <w:rFonts w:ascii="Verdana" w:eastAsiaTheme="minorHAnsi" w:hAnsi="Verdana" w:cstheme="minorBidi"/>
                <w:b/>
                <w:color w:val="FFFFFF" w:themeColor="background1"/>
                <w:sz w:val="18"/>
                <w:szCs w:val="18"/>
              </w:rPr>
              <w:br w:type="page"/>
            </w:r>
            <w:bookmarkStart w:id="57" w:name="I52"/>
            <w:r w:rsidRPr="00025B12">
              <w:rPr>
                <w:rFonts w:ascii="Verdana" w:eastAsiaTheme="minorHAnsi" w:hAnsi="Verdana" w:cstheme="minorBidi"/>
                <w:b/>
                <w:color w:val="FFFFFF" w:themeColor="background1"/>
                <w:sz w:val="18"/>
                <w:szCs w:val="18"/>
              </w:rPr>
              <w:t>I.5.</w:t>
            </w:r>
            <w:bookmarkEnd w:id="57"/>
            <w:r w:rsidRPr="00025B12">
              <w:rPr>
                <w:rFonts w:ascii="Verdana" w:eastAsiaTheme="minorHAnsi" w:hAnsi="Verdana" w:cstheme="minorBidi"/>
                <w:b/>
                <w:color w:val="FFFFFF" w:themeColor="background1"/>
                <w:sz w:val="18"/>
                <w:szCs w:val="18"/>
              </w:rPr>
              <w:t>1</w:t>
            </w:r>
          </w:p>
        </w:tc>
        <w:tc>
          <w:tcPr>
            <w:tcW w:w="7872" w:type="dxa"/>
            <w:gridSpan w:val="4"/>
            <w:vMerge w:val="restart"/>
            <w:tcBorders>
              <w:top w:val="single" w:sz="4" w:space="0" w:color="auto"/>
              <w:left w:val="single" w:sz="4" w:space="0" w:color="auto"/>
              <w:right w:val="single" w:sz="4" w:space="0" w:color="auto"/>
            </w:tcBorders>
            <w:shd w:val="clear" w:color="auto" w:fill="663399"/>
            <w:vAlign w:val="center"/>
          </w:tcPr>
          <w:p w:rsidR="00EA3FCA" w:rsidRPr="00025B12" w:rsidRDefault="00EA3FCA"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Požadavky zaměstnavatelů na kompetence</w:t>
            </w:r>
          </w:p>
        </w:tc>
      </w:tr>
      <w:tr w:rsidR="00EA3FCA" w:rsidRPr="00025B12" w:rsidTr="00D131AA">
        <w:trPr>
          <w:trHeight w:val="360"/>
        </w:trPr>
        <w:tc>
          <w:tcPr>
            <w:tcW w:w="1416" w:type="dxa"/>
            <w:tcBorders>
              <w:top w:val="single" w:sz="4" w:space="0" w:color="auto"/>
              <w:bottom w:val="single" w:sz="4" w:space="0" w:color="auto"/>
              <w:right w:val="single" w:sz="4" w:space="0" w:color="auto"/>
            </w:tcBorders>
            <w:shd w:val="clear" w:color="auto" w:fill="663399"/>
            <w:vAlign w:val="center"/>
          </w:tcPr>
          <w:p w:rsidR="00EA3FCA" w:rsidRPr="00025B12" w:rsidRDefault="00EA3FCA"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72" w:type="dxa"/>
            <w:gridSpan w:val="4"/>
            <w:vMerge/>
            <w:tcBorders>
              <w:left w:val="single" w:sz="4" w:space="0" w:color="auto"/>
              <w:bottom w:val="single" w:sz="4" w:space="0" w:color="auto"/>
              <w:right w:val="single" w:sz="4" w:space="0" w:color="auto"/>
            </w:tcBorders>
            <w:vAlign w:val="center"/>
          </w:tcPr>
          <w:p w:rsidR="00EA3FCA" w:rsidRPr="00025B12" w:rsidRDefault="00EA3FCA" w:rsidP="00D131AA">
            <w:pPr>
              <w:spacing w:after="0" w:line="240" w:lineRule="auto"/>
              <w:jc w:val="center"/>
              <w:rPr>
                <w:rFonts w:ascii="Verdana" w:eastAsiaTheme="minorHAnsi" w:hAnsi="Verdana" w:cstheme="minorBidi"/>
                <w:sz w:val="18"/>
                <w:szCs w:val="18"/>
              </w:rPr>
            </w:pPr>
          </w:p>
        </w:tc>
      </w:tr>
      <w:tr w:rsidR="00EA3FCA" w:rsidRPr="00025B12" w:rsidTr="00123CB7">
        <w:trPr>
          <w:trHeight w:val="360"/>
        </w:trPr>
        <w:tc>
          <w:tcPr>
            <w:tcW w:w="1416" w:type="dxa"/>
            <w:tcBorders>
              <w:top w:val="single" w:sz="4" w:space="0" w:color="auto"/>
              <w:bottom w:val="dotted" w:sz="4" w:space="0" w:color="auto"/>
              <w:right w:val="dotted" w:sz="4" w:space="0" w:color="auto"/>
            </w:tcBorders>
          </w:tcPr>
          <w:p w:rsidR="00EA3FCA" w:rsidRPr="00025B12" w:rsidRDefault="00EA3FCA" w:rsidP="00D131AA">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EA3FCA" w:rsidRPr="00025B12" w:rsidRDefault="00EA3FC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EA3FCA" w:rsidRPr="00025B12" w:rsidRDefault="00EA3FC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5" w:type="dxa"/>
            <w:tcBorders>
              <w:top w:val="single" w:sz="4" w:space="0" w:color="auto"/>
              <w:left w:val="dotted" w:sz="4" w:space="0" w:color="auto"/>
              <w:bottom w:val="dotted" w:sz="4" w:space="0" w:color="auto"/>
              <w:right w:val="dotted" w:sz="4" w:space="0" w:color="auto"/>
            </w:tcBorders>
            <w:vAlign w:val="center"/>
          </w:tcPr>
          <w:p w:rsidR="00EA3FCA" w:rsidRPr="00025B12" w:rsidRDefault="00EA3FC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EA3FCA" w:rsidRPr="00025B12" w:rsidRDefault="00EA3FCA" w:rsidP="00123CB7">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EA3FCA" w:rsidRPr="00025B12" w:rsidTr="00D131AA">
        <w:trPr>
          <w:trHeight w:val="360"/>
        </w:trPr>
        <w:tc>
          <w:tcPr>
            <w:tcW w:w="1416" w:type="dxa"/>
            <w:tcBorders>
              <w:top w:val="dotted" w:sz="4" w:space="0" w:color="auto"/>
              <w:bottom w:val="dotted" w:sz="4" w:space="0" w:color="auto"/>
              <w:right w:val="dotted" w:sz="4" w:space="0" w:color="auto"/>
            </w:tcBorders>
          </w:tcPr>
          <w:p w:rsidR="00EA3FCA" w:rsidRPr="00025B12" w:rsidRDefault="00EA3FC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EA3FCA" w:rsidRPr="00025B12" w:rsidRDefault="00665F1D" w:rsidP="00D131AA">
            <w:pPr>
              <w:spacing w:after="0" w:line="240" w:lineRule="auto"/>
              <w:jc w:val="center"/>
              <w:rPr>
                <w:rFonts w:ascii="Verdana" w:eastAsiaTheme="minorHAnsi" w:hAnsi="Verdana" w:cstheme="minorBidi"/>
                <w:sz w:val="18"/>
                <w:szCs w:val="18"/>
              </w:rPr>
            </w:pPr>
            <w:hyperlink w:anchor="CVTS" w:history="1">
              <w:r w:rsidR="00EA3FCA"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EA3FCA" w:rsidRPr="00025B12" w:rsidRDefault="00EA3FC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5" w:type="dxa"/>
            <w:tcBorders>
              <w:top w:val="dotted" w:sz="4" w:space="0" w:color="auto"/>
              <w:left w:val="dotted" w:sz="4" w:space="0" w:color="auto"/>
              <w:bottom w:val="dotted" w:sz="4" w:space="0" w:color="auto"/>
              <w:right w:val="dotted" w:sz="4" w:space="0" w:color="auto"/>
            </w:tcBorders>
            <w:vAlign w:val="center"/>
          </w:tcPr>
          <w:p w:rsidR="00EA3FCA" w:rsidRPr="00025B12" w:rsidRDefault="00EA3FC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EA3FCA" w:rsidRPr="00025B12" w:rsidRDefault="00EA3FC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EA3FCA" w:rsidRPr="00025B12" w:rsidTr="00D131AA">
        <w:trPr>
          <w:trHeight w:val="360"/>
        </w:trPr>
        <w:tc>
          <w:tcPr>
            <w:tcW w:w="1416" w:type="dxa"/>
            <w:tcBorders>
              <w:top w:val="dotted" w:sz="4" w:space="0" w:color="auto"/>
              <w:bottom w:val="dotted" w:sz="4" w:space="0" w:color="auto"/>
              <w:right w:val="dotted" w:sz="4" w:space="0" w:color="auto"/>
            </w:tcBorders>
          </w:tcPr>
          <w:p w:rsidR="00EA3FCA" w:rsidRPr="00025B12" w:rsidRDefault="00EA3FC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EA3FCA" w:rsidRPr="00025B12" w:rsidRDefault="00665F1D" w:rsidP="00D131AA">
            <w:pPr>
              <w:spacing w:after="0" w:line="240" w:lineRule="auto"/>
              <w:jc w:val="center"/>
              <w:rPr>
                <w:rFonts w:ascii="Verdana" w:eastAsiaTheme="minorHAnsi" w:hAnsi="Verdana" w:cstheme="minorBidi"/>
                <w:sz w:val="18"/>
                <w:szCs w:val="18"/>
              </w:rPr>
            </w:pPr>
            <w:hyperlink w:anchor="CVTS" w:history="1">
              <w:r w:rsidR="00EA3FCA"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EA3FCA" w:rsidRPr="00025B12" w:rsidRDefault="00EA3FC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5" w:type="dxa"/>
            <w:tcBorders>
              <w:top w:val="dotted" w:sz="4" w:space="0" w:color="auto"/>
              <w:left w:val="dotted" w:sz="4" w:space="0" w:color="auto"/>
              <w:bottom w:val="dotted" w:sz="4" w:space="0" w:color="auto"/>
              <w:right w:val="dotted" w:sz="4" w:space="0" w:color="auto"/>
            </w:tcBorders>
            <w:vAlign w:val="center"/>
          </w:tcPr>
          <w:p w:rsidR="00EA3FCA" w:rsidRPr="00025B12" w:rsidRDefault="00EA3FC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EA3FCA" w:rsidRPr="00025B12" w:rsidRDefault="00EA3FC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EA3FCA" w:rsidRPr="00025B12" w:rsidTr="00D131AA">
        <w:trPr>
          <w:trHeight w:val="360"/>
        </w:trPr>
        <w:tc>
          <w:tcPr>
            <w:tcW w:w="1416" w:type="dxa"/>
            <w:tcBorders>
              <w:top w:val="dotted" w:sz="4" w:space="0" w:color="auto"/>
              <w:right w:val="dotted" w:sz="4" w:space="0" w:color="auto"/>
            </w:tcBorders>
          </w:tcPr>
          <w:p w:rsidR="00EA3FCA" w:rsidRPr="00025B12" w:rsidRDefault="00EA3FC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EA3FCA" w:rsidRPr="00025B12" w:rsidRDefault="00EA3FC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20" w:type="dxa"/>
            <w:tcBorders>
              <w:top w:val="dotted" w:sz="4" w:space="0" w:color="auto"/>
              <w:left w:val="dotted" w:sz="4" w:space="0" w:color="auto"/>
              <w:right w:val="dotted" w:sz="4" w:space="0" w:color="auto"/>
            </w:tcBorders>
            <w:vAlign w:val="center"/>
          </w:tcPr>
          <w:p w:rsidR="00EA3FCA" w:rsidRPr="00025B12" w:rsidRDefault="00EA3FC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5" w:type="dxa"/>
            <w:tcBorders>
              <w:top w:val="dotted" w:sz="4" w:space="0" w:color="auto"/>
              <w:left w:val="dotted" w:sz="4" w:space="0" w:color="auto"/>
              <w:right w:val="dotted" w:sz="4" w:space="0" w:color="auto"/>
            </w:tcBorders>
            <w:vAlign w:val="center"/>
          </w:tcPr>
          <w:p w:rsidR="00EA3FCA" w:rsidRPr="00025B12" w:rsidRDefault="00EA3FC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EA3FCA" w:rsidRPr="00025B12" w:rsidRDefault="00EA3FC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EA3FCA" w:rsidRPr="00025B12" w:rsidTr="00D131AA">
        <w:trPr>
          <w:trHeight w:val="274"/>
        </w:trPr>
        <w:tc>
          <w:tcPr>
            <w:tcW w:w="7219" w:type="dxa"/>
            <w:gridSpan w:val="4"/>
            <w:shd w:val="clear" w:color="auto" w:fill="663399"/>
          </w:tcPr>
          <w:p w:rsidR="00EA3FCA" w:rsidRPr="00025B12" w:rsidRDefault="00EA3FCA" w:rsidP="00D131AA">
            <w:pPr>
              <w:spacing w:after="0" w:line="240" w:lineRule="auto"/>
              <w:jc w:val="center"/>
              <w:rPr>
                <w:rFonts w:ascii="Verdana" w:eastAsiaTheme="minorHAnsi" w:hAnsi="Verdana" w:cstheme="minorBidi"/>
                <w:sz w:val="18"/>
                <w:szCs w:val="18"/>
              </w:rPr>
            </w:pPr>
          </w:p>
        </w:tc>
        <w:tc>
          <w:tcPr>
            <w:tcW w:w="2069" w:type="dxa"/>
            <w:shd w:val="clear" w:color="auto" w:fill="663399"/>
          </w:tcPr>
          <w:p w:rsidR="00EA3FCA" w:rsidRPr="00025B12" w:rsidRDefault="00EA3FCA" w:rsidP="00D131AA">
            <w:pPr>
              <w:spacing w:after="0" w:line="240" w:lineRule="auto"/>
              <w:jc w:val="center"/>
              <w:rPr>
                <w:rFonts w:ascii="Verdana" w:eastAsiaTheme="minorHAnsi" w:hAnsi="Verdana" w:cstheme="minorBidi"/>
                <w:sz w:val="18"/>
                <w:szCs w:val="18"/>
              </w:rPr>
            </w:pPr>
          </w:p>
        </w:tc>
      </w:tr>
      <w:tr w:rsidR="00EA3FCA" w:rsidRPr="00025B12" w:rsidTr="00D131AA">
        <w:trPr>
          <w:trHeight w:val="2313"/>
        </w:trPr>
        <w:tc>
          <w:tcPr>
            <w:tcW w:w="9288" w:type="dxa"/>
            <w:gridSpan w:val="5"/>
          </w:tcPr>
          <w:p w:rsidR="00EA3FCA" w:rsidRPr="00025B12" w:rsidRDefault="00EA3FC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EA3FCA" w:rsidRPr="00025B12" w:rsidRDefault="00EA3FCA" w:rsidP="00D131AA">
            <w:pPr>
              <w:spacing w:before="60" w:after="120" w:line="312" w:lineRule="auto"/>
              <w:jc w:val="both"/>
              <w:rPr>
                <w:rFonts w:ascii="Verdana" w:eastAsiaTheme="minorHAnsi" w:hAnsi="Verdana" w:cstheme="minorBidi"/>
                <w:b/>
                <w:sz w:val="18"/>
                <w:szCs w:val="18"/>
                <w:u w:val="single"/>
              </w:rPr>
            </w:pPr>
            <w:r w:rsidRPr="00025B12">
              <w:rPr>
                <w:rFonts w:ascii="Verdana" w:hAnsi="Verdana"/>
                <w:sz w:val="18"/>
                <w:szCs w:val="18"/>
              </w:rPr>
              <w:t>Požadavky zaměstnavatelů na kompetence představují důležitou informaci pro zaměření nabídky dalšího vzdělávání. Tyto informace jsou zjišťovány různými šetřeními, pro mezinárodní srovnání představuje rozhodující zdroj dat šetření CVTS. Otázky v tomto šetření také vymezují okruh kompetencí a umožňují vytvoření indikátoru, který ukazuje, jakou váhu přikládají zaměstnavatelé v budoucích letech daným typům dovedností svých zaměstnanců.</w:t>
            </w:r>
          </w:p>
        </w:tc>
      </w:tr>
      <w:tr w:rsidR="00EA3FCA" w:rsidRPr="00025B12" w:rsidTr="00CE7E8B">
        <w:tc>
          <w:tcPr>
            <w:tcW w:w="9288" w:type="dxa"/>
            <w:gridSpan w:val="5"/>
          </w:tcPr>
          <w:p w:rsidR="00EA3FCA" w:rsidRPr="00025B12" w:rsidRDefault="00EA3FC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EA3FCA" w:rsidRPr="00025B12" w:rsidRDefault="00EA3FCA" w:rsidP="00D131AA">
            <w:pPr>
              <w:jc w:val="both"/>
              <w:rPr>
                <w:rFonts w:ascii="Verdana" w:hAnsi="Verdana"/>
                <w:sz w:val="18"/>
                <w:szCs w:val="18"/>
              </w:rPr>
            </w:pPr>
            <w:r w:rsidRPr="00025B12">
              <w:rPr>
                <w:rFonts w:ascii="Verdana" w:hAnsi="Verdana"/>
                <w:sz w:val="18"/>
                <w:szCs w:val="18"/>
              </w:rPr>
              <w:t>Zaměstnavatelé uvádějí, které dovednosti resp. schopnosti ze seznamu nabízených považuje podnik za důležité z hlediska svého rozvoje v nejbližších letech. Zaměstnavatel může vybrat libovolný počet z následujících dovedností:</w:t>
            </w:r>
          </w:p>
          <w:p w:rsidR="00EA3FCA" w:rsidRPr="00025B12" w:rsidRDefault="00EA3FCA" w:rsidP="00D131AA">
            <w:pPr>
              <w:spacing w:after="0"/>
              <w:jc w:val="both"/>
              <w:rPr>
                <w:rFonts w:ascii="Verdana" w:hAnsi="Verdana"/>
                <w:sz w:val="18"/>
                <w:szCs w:val="18"/>
              </w:rPr>
            </w:pPr>
            <w:r w:rsidRPr="00025B12">
              <w:rPr>
                <w:rFonts w:ascii="Verdana" w:hAnsi="Verdana"/>
                <w:sz w:val="18"/>
                <w:szCs w:val="18"/>
              </w:rPr>
              <w:t>Základní z oblasti informačních technologií</w:t>
            </w:r>
          </w:p>
          <w:p w:rsidR="00EA3FCA" w:rsidRPr="00025B12" w:rsidRDefault="00EA3FCA" w:rsidP="00D131AA">
            <w:pPr>
              <w:spacing w:after="0"/>
              <w:jc w:val="both"/>
              <w:rPr>
                <w:rFonts w:ascii="Verdana" w:hAnsi="Verdana"/>
                <w:sz w:val="18"/>
                <w:szCs w:val="18"/>
              </w:rPr>
            </w:pPr>
            <w:r w:rsidRPr="00025B12">
              <w:rPr>
                <w:rFonts w:ascii="Verdana" w:hAnsi="Verdana"/>
                <w:sz w:val="18"/>
                <w:szCs w:val="18"/>
              </w:rPr>
              <w:t>Profesionální z oblasti informačních technologií</w:t>
            </w:r>
            <w:r w:rsidRPr="00025B12">
              <w:rPr>
                <w:rFonts w:ascii="Verdana" w:hAnsi="Verdana"/>
                <w:sz w:val="18"/>
                <w:szCs w:val="18"/>
              </w:rPr>
              <w:tab/>
            </w:r>
          </w:p>
          <w:p w:rsidR="00EA3FCA" w:rsidRPr="00025B12" w:rsidRDefault="00EA3FCA" w:rsidP="00D131AA">
            <w:pPr>
              <w:spacing w:after="0"/>
              <w:jc w:val="both"/>
              <w:rPr>
                <w:rFonts w:ascii="Verdana" w:hAnsi="Verdana"/>
                <w:sz w:val="18"/>
                <w:szCs w:val="18"/>
              </w:rPr>
            </w:pPr>
            <w:r w:rsidRPr="00025B12">
              <w:rPr>
                <w:rFonts w:ascii="Verdana" w:hAnsi="Verdana"/>
                <w:sz w:val="18"/>
                <w:szCs w:val="18"/>
              </w:rPr>
              <w:t>Řízení práce</w:t>
            </w:r>
            <w:r w:rsidRPr="00025B12">
              <w:rPr>
                <w:rFonts w:ascii="Verdana" w:hAnsi="Verdana"/>
                <w:sz w:val="18"/>
                <w:szCs w:val="18"/>
              </w:rPr>
              <w:tab/>
            </w:r>
          </w:p>
          <w:p w:rsidR="00EA3FCA" w:rsidRPr="00025B12" w:rsidRDefault="00EA3FCA" w:rsidP="00D131AA">
            <w:pPr>
              <w:spacing w:after="0"/>
              <w:jc w:val="both"/>
              <w:rPr>
                <w:rFonts w:ascii="Verdana" w:hAnsi="Verdana"/>
                <w:sz w:val="18"/>
                <w:szCs w:val="18"/>
              </w:rPr>
            </w:pPr>
            <w:r w:rsidRPr="00025B12">
              <w:rPr>
                <w:rFonts w:ascii="Verdana" w:hAnsi="Verdana"/>
                <w:sz w:val="18"/>
                <w:szCs w:val="18"/>
              </w:rPr>
              <w:t>Práce v týmu</w:t>
            </w:r>
            <w:r w:rsidRPr="00025B12">
              <w:rPr>
                <w:rFonts w:ascii="Verdana" w:hAnsi="Verdana"/>
                <w:sz w:val="18"/>
                <w:szCs w:val="18"/>
              </w:rPr>
              <w:tab/>
            </w:r>
          </w:p>
          <w:p w:rsidR="00EA3FCA" w:rsidRPr="00025B12" w:rsidRDefault="00EA3FCA" w:rsidP="00D131AA">
            <w:pPr>
              <w:spacing w:after="0"/>
              <w:jc w:val="both"/>
              <w:rPr>
                <w:rFonts w:ascii="Verdana" w:hAnsi="Verdana"/>
                <w:sz w:val="18"/>
                <w:szCs w:val="18"/>
              </w:rPr>
            </w:pPr>
            <w:r w:rsidRPr="00025B12">
              <w:rPr>
                <w:rFonts w:ascii="Verdana" w:hAnsi="Verdana"/>
                <w:sz w:val="18"/>
                <w:szCs w:val="18"/>
              </w:rPr>
              <w:t>Jednání se zákazníky</w:t>
            </w:r>
            <w:r w:rsidRPr="00025B12">
              <w:rPr>
                <w:rFonts w:ascii="Verdana" w:hAnsi="Verdana"/>
                <w:sz w:val="18"/>
                <w:szCs w:val="18"/>
              </w:rPr>
              <w:tab/>
            </w:r>
          </w:p>
          <w:p w:rsidR="00EA3FCA" w:rsidRPr="00025B12" w:rsidRDefault="00EA3FCA" w:rsidP="00D131AA">
            <w:pPr>
              <w:spacing w:after="0"/>
              <w:jc w:val="both"/>
              <w:rPr>
                <w:rFonts w:ascii="Verdana" w:hAnsi="Verdana"/>
                <w:sz w:val="18"/>
                <w:szCs w:val="18"/>
              </w:rPr>
            </w:pPr>
            <w:r w:rsidRPr="00025B12">
              <w:rPr>
                <w:rFonts w:ascii="Verdana" w:hAnsi="Verdana"/>
                <w:sz w:val="18"/>
                <w:szCs w:val="18"/>
              </w:rPr>
              <w:t>Řešení mimořádných problému a situací</w:t>
            </w:r>
            <w:r w:rsidRPr="00025B12">
              <w:rPr>
                <w:rFonts w:ascii="Verdana" w:hAnsi="Verdana"/>
                <w:sz w:val="18"/>
                <w:szCs w:val="18"/>
              </w:rPr>
              <w:tab/>
            </w:r>
          </w:p>
          <w:p w:rsidR="00EA3FCA" w:rsidRPr="00025B12" w:rsidRDefault="00EA3FCA" w:rsidP="00D131AA">
            <w:pPr>
              <w:spacing w:after="0"/>
              <w:jc w:val="both"/>
              <w:rPr>
                <w:rFonts w:ascii="Verdana" w:hAnsi="Verdana"/>
                <w:sz w:val="18"/>
                <w:szCs w:val="18"/>
              </w:rPr>
            </w:pPr>
            <w:r w:rsidRPr="00025B12">
              <w:rPr>
                <w:rFonts w:ascii="Verdana" w:hAnsi="Verdana"/>
                <w:sz w:val="18"/>
                <w:szCs w:val="18"/>
              </w:rPr>
              <w:t>Vedení administrativy</w:t>
            </w:r>
            <w:r w:rsidRPr="00025B12">
              <w:rPr>
                <w:rFonts w:ascii="Verdana" w:hAnsi="Verdana"/>
                <w:sz w:val="18"/>
                <w:szCs w:val="18"/>
              </w:rPr>
              <w:tab/>
            </w:r>
          </w:p>
          <w:p w:rsidR="00EA3FCA" w:rsidRPr="00025B12" w:rsidRDefault="00EA3FCA" w:rsidP="00D131AA">
            <w:pPr>
              <w:spacing w:after="0"/>
              <w:jc w:val="both"/>
              <w:rPr>
                <w:rFonts w:ascii="Verdana" w:hAnsi="Verdana"/>
                <w:sz w:val="18"/>
                <w:szCs w:val="18"/>
              </w:rPr>
            </w:pPr>
            <w:r w:rsidRPr="00025B12">
              <w:rPr>
                <w:rFonts w:ascii="Verdana" w:hAnsi="Verdana"/>
                <w:sz w:val="18"/>
                <w:szCs w:val="18"/>
              </w:rPr>
              <w:t>Znalosti cizích jazyků</w:t>
            </w:r>
            <w:r w:rsidRPr="00025B12">
              <w:rPr>
                <w:rFonts w:ascii="Verdana" w:hAnsi="Verdana"/>
                <w:sz w:val="18"/>
                <w:szCs w:val="18"/>
              </w:rPr>
              <w:tab/>
            </w:r>
          </w:p>
          <w:p w:rsidR="00EA3FCA" w:rsidRPr="00025B12" w:rsidRDefault="00EA3FCA" w:rsidP="00D131AA">
            <w:pPr>
              <w:spacing w:after="0"/>
              <w:jc w:val="both"/>
              <w:rPr>
                <w:rFonts w:ascii="Verdana" w:hAnsi="Verdana"/>
                <w:sz w:val="18"/>
                <w:szCs w:val="18"/>
              </w:rPr>
            </w:pPr>
            <w:r w:rsidRPr="00025B12">
              <w:rPr>
                <w:rFonts w:ascii="Verdana" w:hAnsi="Verdana"/>
                <w:sz w:val="18"/>
                <w:szCs w:val="18"/>
              </w:rPr>
              <w:t>Technické, praktické apod.</w:t>
            </w:r>
            <w:r w:rsidRPr="00025B12">
              <w:rPr>
                <w:rFonts w:ascii="Verdana" w:hAnsi="Verdana"/>
                <w:sz w:val="18"/>
                <w:szCs w:val="18"/>
              </w:rPr>
              <w:tab/>
            </w:r>
          </w:p>
          <w:p w:rsidR="00EA3FCA" w:rsidRPr="00025B12" w:rsidRDefault="00EA3FCA" w:rsidP="00D131AA">
            <w:pPr>
              <w:spacing w:after="0"/>
              <w:jc w:val="both"/>
              <w:rPr>
                <w:rFonts w:ascii="Verdana" w:hAnsi="Verdana"/>
                <w:sz w:val="18"/>
                <w:szCs w:val="18"/>
              </w:rPr>
            </w:pPr>
            <w:r w:rsidRPr="00025B12">
              <w:rPr>
                <w:rFonts w:ascii="Verdana" w:hAnsi="Verdana"/>
                <w:sz w:val="18"/>
                <w:szCs w:val="18"/>
              </w:rPr>
              <w:t>Komunikační (verbální či písemné)</w:t>
            </w:r>
            <w:r w:rsidRPr="00025B12">
              <w:rPr>
                <w:rFonts w:ascii="Verdana" w:hAnsi="Verdana"/>
                <w:sz w:val="18"/>
                <w:szCs w:val="18"/>
              </w:rPr>
              <w:tab/>
            </w:r>
          </w:p>
          <w:p w:rsidR="00EA3FCA" w:rsidRPr="00025B12" w:rsidRDefault="00EA3FCA" w:rsidP="00D131AA">
            <w:pPr>
              <w:jc w:val="both"/>
              <w:rPr>
                <w:rFonts w:ascii="Verdana" w:hAnsi="Verdana"/>
                <w:sz w:val="18"/>
                <w:szCs w:val="18"/>
              </w:rPr>
            </w:pPr>
            <w:r w:rsidRPr="00025B12">
              <w:rPr>
                <w:rFonts w:ascii="Verdana" w:hAnsi="Verdana"/>
                <w:sz w:val="18"/>
                <w:szCs w:val="18"/>
              </w:rPr>
              <w:t>Gramotnost a základní početní úkony</w:t>
            </w:r>
          </w:p>
          <w:p w:rsidR="00EA3FCA" w:rsidRPr="00025B12" w:rsidRDefault="00EA3FCA" w:rsidP="00D131AA">
            <w:pPr>
              <w:jc w:val="both"/>
              <w:rPr>
                <w:rFonts w:ascii="Verdana" w:hAnsi="Verdana"/>
                <w:sz w:val="18"/>
                <w:szCs w:val="18"/>
              </w:rPr>
            </w:pPr>
            <w:r w:rsidRPr="00025B12">
              <w:rPr>
                <w:rFonts w:ascii="Verdana" w:hAnsi="Verdana"/>
                <w:sz w:val="18"/>
                <w:szCs w:val="18"/>
              </w:rPr>
              <w:t>Indikátor může být vypočten dvěma způsoby: (1) podíl podniků, které uvedly danou dovednost jako důležitou nebo (2) podíl podniků, které uvedly danou dovednost jako nejdůležitější (součet za jednotlivé dovednosti bude 100%). Mezi těmito variantami konečné podoby indikátoru bude rozhodnuto na základě výsledků v obou indikátorech a na základě toho, jakou strategii zvolí Eurostat při publikaci mezinárodních výsledků. Indikátor bude k dispozici v mezinárodním srovnání, možnost regionálního srovnání závisí na celkové strategii publikace výsledků CVTS.</w:t>
            </w:r>
          </w:p>
        </w:tc>
      </w:tr>
      <w:tr w:rsidR="00EA3FCA" w:rsidRPr="00025B12" w:rsidTr="00CE7E8B">
        <w:trPr>
          <w:trHeight w:val="283"/>
        </w:trPr>
        <w:tc>
          <w:tcPr>
            <w:tcW w:w="9288" w:type="dxa"/>
            <w:gridSpan w:val="5"/>
          </w:tcPr>
          <w:p w:rsidR="00EA3FCA" w:rsidRPr="00025B12" w:rsidRDefault="00EA3FC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EA3FCA" w:rsidRPr="00025B12" w:rsidRDefault="00EA3FCA" w:rsidP="00D131AA">
            <w:pPr>
              <w:jc w:val="both"/>
              <w:rPr>
                <w:rFonts w:ascii="Verdana" w:hAnsi="Verdana"/>
                <w:sz w:val="18"/>
                <w:szCs w:val="18"/>
              </w:rPr>
            </w:pPr>
            <w:r w:rsidRPr="00025B12">
              <w:rPr>
                <w:rFonts w:ascii="Verdana" w:hAnsi="Verdana"/>
                <w:sz w:val="18"/>
                <w:szCs w:val="18"/>
              </w:rPr>
              <w:t>Bude zřejmá až v závislosti na způsobu publikace výsledků CVTS4.</w:t>
            </w:r>
          </w:p>
        </w:tc>
      </w:tr>
      <w:tr w:rsidR="00EA3FCA" w:rsidRPr="00025B12" w:rsidTr="00D131AA">
        <w:trPr>
          <w:trHeight w:val="837"/>
        </w:trPr>
        <w:tc>
          <w:tcPr>
            <w:tcW w:w="9288" w:type="dxa"/>
            <w:gridSpan w:val="5"/>
          </w:tcPr>
          <w:p w:rsidR="00EA3FCA" w:rsidRPr="00025B12" w:rsidRDefault="00EA3FC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EA3FCA" w:rsidRPr="00025B12" w:rsidRDefault="00EA3FCA" w:rsidP="00D131AA">
            <w:pPr>
              <w:jc w:val="both"/>
              <w:rPr>
                <w:rFonts w:ascii="Verdana" w:hAnsi="Verdana"/>
                <w:sz w:val="18"/>
                <w:szCs w:val="18"/>
              </w:rPr>
            </w:pPr>
            <w:r w:rsidRPr="00025B12">
              <w:rPr>
                <w:rFonts w:ascii="Verdana" w:hAnsi="Verdana"/>
                <w:sz w:val="18"/>
                <w:szCs w:val="18"/>
              </w:rPr>
              <w:t>Nedostatek regionálních údajů může být nahrazen publikací údajů v sektorovém členění.</w:t>
            </w:r>
          </w:p>
        </w:tc>
      </w:tr>
    </w:tbl>
    <w:p w:rsidR="00EA3FCA" w:rsidRPr="00025B12" w:rsidRDefault="00EA3FCA" w:rsidP="00615B61">
      <w:pPr>
        <w:rPr>
          <w:rFonts w:ascii="Verdana" w:hAnsi="Verdana"/>
          <w:b/>
          <w:sz w:val="24"/>
          <w:szCs w:val="24"/>
        </w:rPr>
      </w:pPr>
      <w:r w:rsidRPr="00025B12">
        <w:rPr>
          <w:rFonts w:ascii="Verdana" w:hAnsi="Verdana"/>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1801"/>
        <w:gridCol w:w="2272"/>
        <w:gridCol w:w="2004"/>
        <w:gridCol w:w="1809"/>
      </w:tblGrid>
      <w:tr w:rsidR="00403468" w:rsidRPr="00025B12" w:rsidTr="00BC5156">
        <w:trPr>
          <w:trHeight w:val="425"/>
        </w:trPr>
        <w:tc>
          <w:tcPr>
            <w:tcW w:w="1402" w:type="dxa"/>
            <w:tcBorders>
              <w:bottom w:val="single" w:sz="4" w:space="0" w:color="auto"/>
              <w:right w:val="single" w:sz="4" w:space="0" w:color="auto"/>
            </w:tcBorders>
            <w:shd w:val="clear" w:color="auto" w:fill="663399"/>
            <w:vAlign w:val="center"/>
          </w:tcPr>
          <w:p w:rsidR="00403468" w:rsidRPr="00025B12" w:rsidRDefault="00403468"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br w:type="page"/>
            </w:r>
            <w:r w:rsidRPr="00025B12">
              <w:rPr>
                <w:rFonts w:ascii="Verdana" w:eastAsiaTheme="minorHAnsi" w:hAnsi="Verdana" w:cstheme="minorBidi"/>
                <w:b/>
                <w:color w:val="FFFFFF" w:themeColor="background1"/>
                <w:sz w:val="18"/>
                <w:szCs w:val="18"/>
              </w:rPr>
              <w:br w:type="page"/>
            </w:r>
            <w:bookmarkStart w:id="58" w:name="I51"/>
            <w:r w:rsidRPr="00025B12">
              <w:rPr>
                <w:rFonts w:ascii="Verdana" w:eastAsiaTheme="minorHAnsi" w:hAnsi="Verdana" w:cstheme="minorBidi"/>
                <w:b/>
                <w:color w:val="FFFFFF" w:themeColor="background1"/>
                <w:sz w:val="18"/>
                <w:szCs w:val="18"/>
              </w:rPr>
              <w:t>I.5.</w:t>
            </w:r>
            <w:r w:rsidR="008D36D8" w:rsidRPr="00025B12">
              <w:rPr>
                <w:rFonts w:ascii="Verdana" w:eastAsiaTheme="minorHAnsi" w:hAnsi="Verdana" w:cstheme="minorBidi"/>
                <w:b/>
                <w:color w:val="FFFFFF" w:themeColor="background1"/>
                <w:sz w:val="18"/>
                <w:szCs w:val="18"/>
              </w:rPr>
              <w:t>d</w:t>
            </w:r>
            <w:r w:rsidRPr="00025B12">
              <w:rPr>
                <w:rFonts w:ascii="Verdana" w:eastAsiaTheme="minorHAnsi" w:hAnsi="Verdana" w:cstheme="minorBidi"/>
                <w:b/>
                <w:color w:val="FFFFFF" w:themeColor="background1"/>
                <w:sz w:val="18"/>
                <w:szCs w:val="18"/>
              </w:rPr>
              <w:t>1</w:t>
            </w:r>
            <w:bookmarkEnd w:id="58"/>
          </w:p>
        </w:tc>
        <w:tc>
          <w:tcPr>
            <w:tcW w:w="7886" w:type="dxa"/>
            <w:gridSpan w:val="4"/>
            <w:vMerge w:val="restart"/>
            <w:tcBorders>
              <w:top w:val="single" w:sz="4" w:space="0" w:color="auto"/>
              <w:left w:val="single" w:sz="4" w:space="0" w:color="auto"/>
              <w:right w:val="single" w:sz="4" w:space="0" w:color="auto"/>
            </w:tcBorders>
            <w:shd w:val="clear" w:color="auto" w:fill="663399"/>
            <w:vAlign w:val="center"/>
          </w:tcPr>
          <w:p w:rsidR="00403468" w:rsidRPr="00025B12" w:rsidRDefault="00940374" w:rsidP="00D7337B">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Matematické, čtenářské a ICT kompetence dospělých</w:t>
            </w:r>
          </w:p>
        </w:tc>
      </w:tr>
      <w:tr w:rsidR="00403468" w:rsidRPr="00025B12" w:rsidTr="00BC5156">
        <w:trPr>
          <w:trHeight w:val="360"/>
        </w:trPr>
        <w:tc>
          <w:tcPr>
            <w:tcW w:w="1402" w:type="dxa"/>
            <w:tcBorders>
              <w:top w:val="single" w:sz="4" w:space="0" w:color="auto"/>
              <w:bottom w:val="single" w:sz="4" w:space="0" w:color="auto"/>
              <w:right w:val="single" w:sz="4" w:space="0" w:color="auto"/>
            </w:tcBorders>
            <w:shd w:val="clear" w:color="auto" w:fill="663399"/>
            <w:vAlign w:val="center"/>
          </w:tcPr>
          <w:p w:rsidR="00403468" w:rsidRPr="00025B12" w:rsidRDefault="00DD020F"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86" w:type="dxa"/>
            <w:gridSpan w:val="4"/>
            <w:vMerge/>
            <w:tcBorders>
              <w:left w:val="single" w:sz="4" w:space="0" w:color="auto"/>
              <w:bottom w:val="single" w:sz="4" w:space="0" w:color="auto"/>
              <w:right w:val="single"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123CB7">
        <w:trPr>
          <w:trHeight w:val="360"/>
        </w:trPr>
        <w:tc>
          <w:tcPr>
            <w:tcW w:w="1402" w:type="dxa"/>
            <w:tcBorders>
              <w:top w:val="single"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801"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72"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04"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809" w:type="dxa"/>
            <w:tcBorders>
              <w:top w:val="single" w:sz="4" w:space="0" w:color="auto"/>
              <w:left w:val="dotted" w:sz="4" w:space="0" w:color="auto"/>
              <w:bottom w:val="dotted" w:sz="4" w:space="0" w:color="auto"/>
            </w:tcBorders>
            <w:vAlign w:val="center"/>
          </w:tcPr>
          <w:p w:rsidR="00403468" w:rsidRPr="00025B12" w:rsidRDefault="00403468" w:rsidP="00123CB7">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03468" w:rsidRPr="00025B12" w:rsidTr="00BC5156">
        <w:trPr>
          <w:trHeight w:val="360"/>
        </w:trPr>
        <w:tc>
          <w:tcPr>
            <w:tcW w:w="1402" w:type="dxa"/>
            <w:tcBorders>
              <w:top w:val="dotted"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01" w:type="dxa"/>
            <w:tcBorders>
              <w:top w:val="dotted" w:sz="4" w:space="0" w:color="auto"/>
              <w:left w:val="dotted" w:sz="4" w:space="0" w:color="auto"/>
              <w:bottom w:val="dotted" w:sz="4" w:space="0" w:color="auto"/>
              <w:right w:val="dotted" w:sz="4" w:space="0" w:color="auto"/>
            </w:tcBorders>
            <w:vAlign w:val="center"/>
          </w:tcPr>
          <w:p w:rsidR="00403468" w:rsidRPr="00025B12" w:rsidRDefault="00665F1D" w:rsidP="00403468">
            <w:pPr>
              <w:spacing w:after="0" w:line="240" w:lineRule="auto"/>
              <w:jc w:val="center"/>
              <w:rPr>
                <w:rFonts w:ascii="Verdana" w:eastAsiaTheme="minorHAnsi" w:hAnsi="Verdana" w:cstheme="minorBidi"/>
                <w:sz w:val="18"/>
                <w:szCs w:val="18"/>
              </w:rPr>
            </w:pPr>
            <w:hyperlink w:anchor="PIAAC" w:history="1">
              <w:r w:rsidR="00403468" w:rsidRPr="00025B12">
                <w:rPr>
                  <w:rStyle w:val="Hypertextovodkaz"/>
                  <w:rFonts w:ascii="Verdana" w:eastAsiaTheme="minorHAnsi" w:hAnsi="Verdana" w:cstheme="minorBidi"/>
                  <w:sz w:val="18"/>
                  <w:szCs w:val="18"/>
                </w:rPr>
                <w:t>SIALS, PIAAC</w:t>
              </w:r>
            </w:hyperlink>
          </w:p>
        </w:tc>
        <w:tc>
          <w:tcPr>
            <w:tcW w:w="2272"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OECD</w:t>
            </w:r>
          </w:p>
        </w:tc>
        <w:tc>
          <w:tcPr>
            <w:tcW w:w="2004"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cca 10-15 let</w:t>
            </w:r>
          </w:p>
        </w:tc>
        <w:tc>
          <w:tcPr>
            <w:tcW w:w="1809" w:type="dxa"/>
            <w:tcBorders>
              <w:top w:val="dotted" w:sz="4" w:space="0" w:color="auto"/>
              <w:left w:val="dotted" w:sz="4" w:space="0" w:color="auto"/>
              <w:bottom w:val="dotted" w:sz="4" w:space="0" w:color="auto"/>
            </w:tcBorders>
            <w:shd w:val="clear" w:color="auto" w:fill="auto"/>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 xml:space="preserve">1998 a </w:t>
            </w:r>
            <w:r w:rsidR="00BC5156" w:rsidRPr="00025B12">
              <w:rPr>
                <w:rFonts w:ascii="Verdana" w:eastAsiaTheme="minorHAnsi" w:hAnsi="Verdana" w:cstheme="minorBidi"/>
                <w:sz w:val="18"/>
                <w:szCs w:val="18"/>
              </w:rPr>
              <w:t>(</w:t>
            </w:r>
            <w:r w:rsidRPr="00025B12">
              <w:rPr>
                <w:rFonts w:ascii="Verdana" w:eastAsiaTheme="minorHAnsi" w:hAnsi="Verdana" w:cstheme="minorBidi"/>
                <w:sz w:val="18"/>
                <w:szCs w:val="18"/>
              </w:rPr>
              <w:t>2012</w:t>
            </w:r>
            <w:r w:rsidR="00BC5156" w:rsidRPr="00025B12">
              <w:rPr>
                <w:rFonts w:ascii="Verdana" w:eastAsiaTheme="minorHAnsi" w:hAnsi="Verdana" w:cstheme="minorBidi"/>
                <w:sz w:val="18"/>
                <w:szCs w:val="18"/>
              </w:rPr>
              <w:t>)</w:t>
            </w:r>
          </w:p>
        </w:tc>
      </w:tr>
      <w:tr w:rsidR="00053437" w:rsidRPr="00025B12" w:rsidTr="00BC5156">
        <w:trPr>
          <w:trHeight w:val="360"/>
        </w:trPr>
        <w:tc>
          <w:tcPr>
            <w:tcW w:w="1402" w:type="dxa"/>
            <w:tcBorders>
              <w:top w:val="dotted" w:sz="4" w:space="0" w:color="auto"/>
              <w:bottom w:val="dotted" w:sz="4" w:space="0" w:color="auto"/>
              <w:right w:val="dotted" w:sz="4" w:space="0" w:color="auto"/>
            </w:tcBorders>
          </w:tcPr>
          <w:p w:rsidR="00053437" w:rsidRPr="00025B12" w:rsidRDefault="00053437"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01" w:type="dxa"/>
            <w:tcBorders>
              <w:top w:val="dotted" w:sz="4" w:space="0" w:color="auto"/>
              <w:left w:val="dotted" w:sz="4" w:space="0" w:color="auto"/>
              <w:bottom w:val="dotted" w:sz="4" w:space="0" w:color="auto"/>
              <w:right w:val="dotted" w:sz="4" w:space="0" w:color="auto"/>
            </w:tcBorders>
            <w:vAlign w:val="center"/>
          </w:tcPr>
          <w:p w:rsidR="00053437" w:rsidRPr="00025B12" w:rsidRDefault="00665F1D" w:rsidP="00672756">
            <w:pPr>
              <w:spacing w:after="0" w:line="240" w:lineRule="auto"/>
              <w:jc w:val="center"/>
              <w:rPr>
                <w:rFonts w:ascii="Verdana" w:eastAsiaTheme="minorHAnsi" w:hAnsi="Verdana" w:cstheme="minorBidi"/>
                <w:sz w:val="18"/>
                <w:szCs w:val="18"/>
              </w:rPr>
            </w:pPr>
            <w:hyperlink w:anchor="PIAAC" w:history="1">
              <w:r w:rsidR="00053437" w:rsidRPr="00025B12">
                <w:rPr>
                  <w:rStyle w:val="Hypertextovodkaz"/>
                  <w:rFonts w:ascii="Verdana" w:eastAsiaTheme="minorHAnsi" w:hAnsi="Verdana" w:cstheme="minorBidi"/>
                  <w:sz w:val="18"/>
                  <w:szCs w:val="18"/>
                </w:rPr>
                <w:t>SIALS, PIAAC</w:t>
              </w:r>
            </w:hyperlink>
          </w:p>
        </w:tc>
        <w:tc>
          <w:tcPr>
            <w:tcW w:w="2272" w:type="dxa"/>
            <w:tcBorders>
              <w:top w:val="dotted" w:sz="4" w:space="0" w:color="auto"/>
              <w:left w:val="dotted" w:sz="4" w:space="0" w:color="auto"/>
              <w:bottom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ÚIV (NVF)</w:t>
            </w:r>
          </w:p>
        </w:tc>
        <w:tc>
          <w:tcPr>
            <w:tcW w:w="2004" w:type="dxa"/>
            <w:tcBorders>
              <w:top w:val="dotted" w:sz="4" w:space="0" w:color="auto"/>
              <w:left w:val="dotted" w:sz="4" w:space="0" w:color="auto"/>
              <w:bottom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cca 10-15 let</w:t>
            </w:r>
          </w:p>
        </w:tc>
        <w:tc>
          <w:tcPr>
            <w:tcW w:w="1809" w:type="dxa"/>
            <w:tcBorders>
              <w:top w:val="dotted" w:sz="4" w:space="0" w:color="auto"/>
              <w:left w:val="dotted" w:sz="4" w:space="0" w:color="auto"/>
              <w:bottom w:val="dotted" w:sz="4" w:space="0" w:color="auto"/>
            </w:tcBorders>
            <w:shd w:val="clear" w:color="auto" w:fill="auto"/>
            <w:vAlign w:val="center"/>
          </w:tcPr>
          <w:p w:rsidR="00053437" w:rsidRPr="00025B12" w:rsidRDefault="00BC5156"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1998 a (2012)</w:t>
            </w:r>
          </w:p>
        </w:tc>
      </w:tr>
      <w:tr w:rsidR="00053437" w:rsidRPr="00025B12" w:rsidTr="00BC5156">
        <w:trPr>
          <w:trHeight w:val="360"/>
        </w:trPr>
        <w:tc>
          <w:tcPr>
            <w:tcW w:w="1402" w:type="dxa"/>
            <w:tcBorders>
              <w:top w:val="dotted" w:sz="4" w:space="0" w:color="auto"/>
              <w:right w:val="dotted" w:sz="4" w:space="0" w:color="auto"/>
            </w:tcBorders>
          </w:tcPr>
          <w:p w:rsidR="00053437" w:rsidRPr="00025B12" w:rsidRDefault="00053437"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01" w:type="dxa"/>
            <w:tcBorders>
              <w:top w:val="dotted" w:sz="4" w:space="0" w:color="auto"/>
              <w:left w:val="dotted" w:sz="4" w:space="0" w:color="auto"/>
              <w:right w:val="dotted" w:sz="4" w:space="0" w:color="auto"/>
            </w:tcBorders>
            <w:vAlign w:val="center"/>
          </w:tcPr>
          <w:p w:rsidR="00053437" w:rsidRPr="00025B12" w:rsidRDefault="00665F1D" w:rsidP="00672756">
            <w:pPr>
              <w:spacing w:after="0" w:line="240" w:lineRule="auto"/>
              <w:jc w:val="center"/>
              <w:rPr>
                <w:rFonts w:ascii="Verdana" w:eastAsiaTheme="minorHAnsi" w:hAnsi="Verdana" w:cstheme="minorBidi"/>
                <w:sz w:val="18"/>
                <w:szCs w:val="18"/>
              </w:rPr>
            </w:pPr>
            <w:hyperlink w:anchor="PIAAC" w:history="1">
              <w:r w:rsidR="00BC5156" w:rsidRPr="00025B12">
                <w:rPr>
                  <w:rStyle w:val="Hypertextovodkaz"/>
                  <w:rFonts w:ascii="Verdana" w:eastAsiaTheme="minorHAnsi" w:hAnsi="Verdana" w:cstheme="minorBidi"/>
                  <w:sz w:val="18"/>
                  <w:szCs w:val="18"/>
                </w:rPr>
                <w:t>PIAAC</w:t>
              </w:r>
            </w:hyperlink>
          </w:p>
        </w:tc>
        <w:tc>
          <w:tcPr>
            <w:tcW w:w="2272" w:type="dxa"/>
            <w:tcBorders>
              <w:top w:val="dotted" w:sz="4" w:space="0" w:color="auto"/>
              <w:left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ÚIV (NVF)</w:t>
            </w:r>
          </w:p>
        </w:tc>
        <w:tc>
          <w:tcPr>
            <w:tcW w:w="2004" w:type="dxa"/>
            <w:tcBorders>
              <w:top w:val="dotted" w:sz="4" w:space="0" w:color="auto"/>
              <w:left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cca 10-15 let</w:t>
            </w:r>
          </w:p>
        </w:tc>
        <w:tc>
          <w:tcPr>
            <w:tcW w:w="1809" w:type="dxa"/>
            <w:tcBorders>
              <w:top w:val="dotted" w:sz="4" w:space="0" w:color="auto"/>
              <w:left w:val="dotted" w:sz="4" w:space="0" w:color="auto"/>
            </w:tcBorders>
            <w:shd w:val="clear" w:color="auto" w:fill="auto"/>
            <w:vAlign w:val="center"/>
          </w:tcPr>
          <w:p w:rsidR="00053437" w:rsidRPr="00025B12" w:rsidRDefault="00BC5156"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r w:rsidR="00053437" w:rsidRPr="00025B12">
              <w:rPr>
                <w:rFonts w:ascii="Verdana" w:eastAsiaTheme="minorHAnsi" w:hAnsi="Verdana" w:cstheme="minorBidi"/>
                <w:sz w:val="18"/>
                <w:szCs w:val="18"/>
              </w:rPr>
              <w:t>2012</w:t>
            </w:r>
            <w:r w:rsidRPr="00025B12">
              <w:rPr>
                <w:rFonts w:ascii="Verdana" w:eastAsiaTheme="minorHAnsi" w:hAnsi="Verdana" w:cstheme="minorBidi"/>
                <w:sz w:val="18"/>
                <w:szCs w:val="18"/>
              </w:rPr>
              <w:t>)</w:t>
            </w:r>
          </w:p>
        </w:tc>
      </w:tr>
      <w:tr w:rsidR="00403468" w:rsidRPr="00025B12" w:rsidTr="00BC5156">
        <w:trPr>
          <w:trHeight w:val="274"/>
        </w:trPr>
        <w:tc>
          <w:tcPr>
            <w:tcW w:w="7479" w:type="dxa"/>
            <w:gridSpan w:val="4"/>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809" w:type="dxa"/>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735A36">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03468" w:rsidRPr="00025B12" w:rsidRDefault="00403468" w:rsidP="00735A36">
            <w:pPr>
              <w:spacing w:before="60" w:after="60" w:line="312" w:lineRule="auto"/>
              <w:jc w:val="both"/>
              <w:rPr>
                <w:rFonts w:ascii="Verdana" w:eastAsiaTheme="minorHAnsi" w:hAnsi="Verdana" w:cstheme="minorBidi"/>
                <w:b/>
                <w:sz w:val="18"/>
                <w:szCs w:val="18"/>
                <w:u w:val="single"/>
              </w:rPr>
            </w:pPr>
            <w:r w:rsidRPr="00025B12">
              <w:rPr>
                <w:rFonts w:ascii="Verdana" w:hAnsi="Verdana"/>
                <w:sz w:val="18"/>
                <w:szCs w:val="18"/>
              </w:rPr>
              <w:t>Obecné kompetence (čtenářské, numerické a schopnost řešit problémy v prostředí informačních technologií) jsou předpokladem, a v případě nedostatku často bariérou, dalšího vzdělávání. Nedostatečná úroveň jednotlivých kompetencí zároveň indikuje oblasti obecných dovedností, na které by se další vzdělávání mělo zaměřit.</w:t>
            </w:r>
          </w:p>
        </w:tc>
      </w:tr>
      <w:tr w:rsidR="00403468" w:rsidRPr="00025B12" w:rsidTr="00735A36">
        <w:trPr>
          <w:trHeight w:val="6735"/>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03468" w:rsidRPr="00025B12" w:rsidRDefault="00403468" w:rsidP="00403468">
            <w:pPr>
              <w:jc w:val="both"/>
              <w:rPr>
                <w:rFonts w:ascii="Verdana" w:hAnsi="Verdana"/>
                <w:sz w:val="18"/>
                <w:szCs w:val="18"/>
              </w:rPr>
            </w:pPr>
            <w:r w:rsidRPr="00025B12">
              <w:rPr>
                <w:rFonts w:ascii="Verdana" w:hAnsi="Verdana"/>
                <w:sz w:val="18"/>
                <w:szCs w:val="18"/>
              </w:rPr>
              <w:t>Přímé měření kompetencí, obzvláště v mezinárodním srovnání, je velmi náročné, a proto je realizováno s poměrně velkým časovým odstupem. Kromě toho dochází u jednotlivých šetření k metodickým změnám, což výrazně ztěžuje či dokonce znemožňuje porovnání jejich výsledků.  Pro Českou republiku jsou zatím k dispozici pouze výsledky výzkumu SIALS z roku 1997, v současné době (rok 2011-12) probíhá sběr dat šetření PIAAC.</w:t>
            </w:r>
          </w:p>
          <w:p w:rsidR="00403468" w:rsidRPr="00025B12" w:rsidRDefault="00403468" w:rsidP="00403468">
            <w:pPr>
              <w:spacing w:after="0"/>
              <w:jc w:val="both"/>
              <w:rPr>
                <w:rFonts w:ascii="Verdana" w:hAnsi="Verdana"/>
                <w:spacing w:val="-6"/>
                <w:sz w:val="18"/>
                <w:szCs w:val="18"/>
              </w:rPr>
            </w:pPr>
            <w:r w:rsidRPr="00025B12">
              <w:rPr>
                <w:rFonts w:ascii="Verdana" w:hAnsi="Verdana"/>
                <w:spacing w:val="-6"/>
                <w:sz w:val="18"/>
                <w:szCs w:val="18"/>
              </w:rPr>
              <w:t>V rámci výzkumu SIALS byly testovány 3 oblasti kompetencí:</w:t>
            </w:r>
          </w:p>
          <w:p w:rsidR="00403468" w:rsidRPr="00025B12" w:rsidRDefault="00403468" w:rsidP="005E2CC2">
            <w:pPr>
              <w:numPr>
                <w:ilvl w:val="0"/>
                <w:numId w:val="11"/>
              </w:numPr>
              <w:spacing w:after="0"/>
              <w:jc w:val="both"/>
              <w:rPr>
                <w:rFonts w:ascii="Verdana" w:hAnsi="Verdana"/>
                <w:spacing w:val="-6"/>
                <w:sz w:val="18"/>
                <w:szCs w:val="18"/>
              </w:rPr>
            </w:pPr>
            <w:r w:rsidRPr="00025B12">
              <w:rPr>
                <w:rFonts w:ascii="Verdana" w:hAnsi="Verdana"/>
                <w:spacing w:val="-6"/>
                <w:sz w:val="18"/>
                <w:szCs w:val="18"/>
              </w:rPr>
              <w:t>Literární gramotnost (prose) – znalosti a dovednosti potřebné k porozumění a využívání informací</w:t>
            </w:r>
          </w:p>
          <w:p w:rsidR="00403468" w:rsidRPr="00025B12" w:rsidRDefault="00403468" w:rsidP="005E2CC2">
            <w:pPr>
              <w:numPr>
                <w:ilvl w:val="0"/>
                <w:numId w:val="11"/>
              </w:numPr>
              <w:spacing w:after="0"/>
              <w:jc w:val="both"/>
              <w:rPr>
                <w:rFonts w:ascii="Verdana" w:hAnsi="Verdana"/>
                <w:spacing w:val="-6"/>
                <w:sz w:val="18"/>
                <w:szCs w:val="18"/>
              </w:rPr>
            </w:pPr>
            <w:r w:rsidRPr="00025B12">
              <w:rPr>
                <w:rFonts w:ascii="Verdana" w:hAnsi="Verdana"/>
                <w:spacing w:val="-6"/>
                <w:sz w:val="18"/>
                <w:szCs w:val="18"/>
              </w:rPr>
              <w:t>Dokumentová gramotnost (document) – znalosti a dovednosti potřebné k vyhledávání a využívání informací obsažených v různých tiskopisech</w:t>
            </w:r>
          </w:p>
          <w:p w:rsidR="00403468" w:rsidRPr="00025B12" w:rsidRDefault="00403468" w:rsidP="005E2CC2">
            <w:pPr>
              <w:numPr>
                <w:ilvl w:val="0"/>
                <w:numId w:val="11"/>
              </w:numPr>
              <w:spacing w:after="0"/>
              <w:jc w:val="both"/>
              <w:rPr>
                <w:rFonts w:ascii="Verdana" w:hAnsi="Verdana"/>
                <w:spacing w:val="-6"/>
                <w:sz w:val="18"/>
                <w:szCs w:val="18"/>
              </w:rPr>
            </w:pPr>
            <w:r w:rsidRPr="00025B12">
              <w:rPr>
                <w:rFonts w:ascii="Verdana" w:hAnsi="Verdana"/>
                <w:spacing w:val="-6"/>
                <w:sz w:val="18"/>
                <w:szCs w:val="18"/>
              </w:rPr>
              <w:t>Numerická gramotnost (quantitative) – dovednost manipulovat s čísly, tedy aplikovat vhodné matematické operace na číselné údaje obsažené v tištěných textech</w:t>
            </w:r>
          </w:p>
          <w:p w:rsidR="00403468" w:rsidRPr="00025B12" w:rsidRDefault="00403468" w:rsidP="00403468">
            <w:pPr>
              <w:spacing w:after="0"/>
              <w:jc w:val="both"/>
              <w:rPr>
                <w:rFonts w:ascii="Verdana" w:hAnsi="Verdana"/>
                <w:spacing w:val="-6"/>
                <w:sz w:val="18"/>
                <w:szCs w:val="18"/>
              </w:rPr>
            </w:pPr>
            <w:r w:rsidRPr="00025B12">
              <w:rPr>
                <w:rFonts w:ascii="Verdana" w:hAnsi="Verdana"/>
                <w:spacing w:val="-6"/>
                <w:sz w:val="18"/>
                <w:szCs w:val="18"/>
              </w:rPr>
              <w:t>V šetření PIAAC budou zkoumány odlišné škály kompetencí:</w:t>
            </w:r>
          </w:p>
          <w:p w:rsidR="00403468" w:rsidRPr="00025B12" w:rsidRDefault="00403468" w:rsidP="005E2CC2">
            <w:pPr>
              <w:numPr>
                <w:ilvl w:val="0"/>
                <w:numId w:val="11"/>
              </w:numPr>
              <w:spacing w:after="0"/>
              <w:jc w:val="both"/>
              <w:rPr>
                <w:rFonts w:ascii="Verdana" w:hAnsi="Verdana"/>
                <w:spacing w:val="-6"/>
                <w:sz w:val="18"/>
                <w:szCs w:val="18"/>
              </w:rPr>
            </w:pPr>
            <w:r w:rsidRPr="00025B12">
              <w:rPr>
                <w:rFonts w:ascii="Verdana" w:hAnsi="Verdana"/>
                <w:spacing w:val="-6"/>
                <w:sz w:val="18"/>
                <w:szCs w:val="18"/>
              </w:rPr>
              <w:t>Numerická gramotnost představuje dovednost řešit úkoly běžného života, které zahrnují nějaké číselné nebo jiné matematické prvky (např. geometrické, prostorové).</w:t>
            </w:r>
          </w:p>
          <w:p w:rsidR="00403468" w:rsidRPr="00025B12" w:rsidRDefault="00403468" w:rsidP="005E2CC2">
            <w:pPr>
              <w:numPr>
                <w:ilvl w:val="0"/>
                <w:numId w:val="11"/>
              </w:numPr>
              <w:spacing w:after="0"/>
              <w:jc w:val="both"/>
              <w:rPr>
                <w:rFonts w:ascii="Verdana" w:hAnsi="Verdana"/>
                <w:spacing w:val="-6"/>
                <w:sz w:val="18"/>
                <w:szCs w:val="18"/>
              </w:rPr>
            </w:pPr>
            <w:r w:rsidRPr="00025B12">
              <w:rPr>
                <w:rFonts w:ascii="Verdana" w:hAnsi="Verdana"/>
                <w:spacing w:val="-6"/>
                <w:sz w:val="18"/>
                <w:szCs w:val="18"/>
              </w:rPr>
              <w:t xml:space="preserve">Čtenářská gramotnost je dovednost porozumět psanému textu a získávat z něj informace. </w:t>
            </w:r>
          </w:p>
          <w:p w:rsidR="00403468" w:rsidRPr="00025B12" w:rsidRDefault="00403468" w:rsidP="005E2CC2">
            <w:pPr>
              <w:numPr>
                <w:ilvl w:val="0"/>
                <w:numId w:val="11"/>
              </w:numPr>
              <w:ind w:left="714" w:hanging="357"/>
              <w:jc w:val="both"/>
              <w:rPr>
                <w:rFonts w:ascii="Verdana" w:hAnsi="Verdana"/>
                <w:spacing w:val="-6"/>
                <w:sz w:val="18"/>
                <w:szCs w:val="18"/>
              </w:rPr>
            </w:pPr>
            <w:r w:rsidRPr="00025B12">
              <w:rPr>
                <w:rFonts w:ascii="Verdana" w:hAnsi="Verdana"/>
                <w:spacing w:val="-6"/>
                <w:sz w:val="18"/>
                <w:szCs w:val="18"/>
              </w:rPr>
              <w:t>Dovednost řešit problémy v prostředí informačních technologií zahrnuje práci s běžnými počítačovými aplikacemi, jako je elektronická pošta, vyhledávače, kalkulátory, programy na zpracování textu. V této oblasti bude hodnocena dovednost získávat, vyhodnocovat a zpracovávat informace, přičemž pozornost bude věnována jak kognitivním dovednostem, tak zběhlosti v práci v počítačovém prostředí.</w:t>
            </w:r>
          </w:p>
          <w:p w:rsidR="00403468" w:rsidRPr="00025B12" w:rsidRDefault="00403468" w:rsidP="00735A36">
            <w:pPr>
              <w:spacing w:after="120"/>
              <w:jc w:val="both"/>
              <w:rPr>
                <w:rFonts w:ascii="Verdana" w:hAnsi="Verdana"/>
                <w:sz w:val="18"/>
                <w:szCs w:val="18"/>
              </w:rPr>
            </w:pPr>
            <w:r w:rsidRPr="00025B12">
              <w:rPr>
                <w:rFonts w:ascii="Verdana" w:hAnsi="Verdana"/>
                <w:sz w:val="18"/>
                <w:szCs w:val="18"/>
              </w:rPr>
              <w:t>Indikátor uvádí pro danou zemi průměrnou hodnotu na pětisetbodové škále a chybu tohoto průměru (standard error of mean). Uvažována je populace 16-65 let. Hodnota na škále je dopočtena na základě mezinárodní kalibrace.</w:t>
            </w:r>
          </w:p>
        </w:tc>
      </w:tr>
      <w:tr w:rsidR="00403468" w:rsidRPr="00025B12" w:rsidTr="00735A36">
        <w:trPr>
          <w:trHeight w:val="1746"/>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03468" w:rsidRPr="00025B12" w:rsidRDefault="00403468" w:rsidP="00735A36">
            <w:pPr>
              <w:spacing w:after="60"/>
              <w:jc w:val="both"/>
              <w:rPr>
                <w:rFonts w:ascii="Verdana" w:hAnsi="Verdana"/>
                <w:sz w:val="18"/>
                <w:szCs w:val="18"/>
              </w:rPr>
            </w:pPr>
            <w:r w:rsidRPr="00025B12">
              <w:rPr>
                <w:rFonts w:ascii="Verdana" w:hAnsi="Verdana"/>
                <w:sz w:val="18"/>
                <w:szCs w:val="18"/>
              </w:rPr>
              <w:t xml:space="preserve">Vzhledem k tomu, že se jedná o víceméně jednorázová šetření, nelze příliš uvažovat o </w:t>
            </w:r>
            <w:r w:rsidR="000D14BE" w:rsidRPr="00025B12">
              <w:rPr>
                <w:rFonts w:ascii="Verdana" w:hAnsi="Verdana"/>
                <w:sz w:val="18"/>
                <w:szCs w:val="18"/>
              </w:rPr>
              <w:t>pravidelné</w:t>
            </w:r>
            <w:r w:rsidRPr="00025B12">
              <w:rPr>
                <w:rFonts w:ascii="Verdana" w:hAnsi="Verdana"/>
                <w:sz w:val="18"/>
                <w:szCs w:val="18"/>
              </w:rPr>
              <w:t xml:space="preserve"> dostupnosti dat. Zmíněné indikátory jsou však základními výsledky zmíněných výzkumů a proto lze očekávat, že mezinárodní výsledky budou k dispozici přímo v převzatelné podobě. Data jsou získána z publikací vyhodnocujících výsledky výzkumu, regionální srovnání není u výsledků SIALS k dispozici, ale u výzkumu PIAAC jej lze očekávat.</w:t>
            </w:r>
          </w:p>
        </w:tc>
      </w:tr>
      <w:tr w:rsidR="00403468" w:rsidRPr="00025B12" w:rsidTr="00735A36">
        <w:trPr>
          <w:trHeight w:hRule="exact" w:val="587"/>
        </w:trPr>
        <w:tc>
          <w:tcPr>
            <w:tcW w:w="9288" w:type="dxa"/>
            <w:gridSpan w:val="5"/>
          </w:tcPr>
          <w:p w:rsidR="00403468" w:rsidRPr="00025B12" w:rsidRDefault="00403468" w:rsidP="00735A36">
            <w:pPr>
              <w:spacing w:after="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03468" w:rsidRPr="00025B12" w:rsidRDefault="00403468" w:rsidP="00735A36">
            <w:pPr>
              <w:spacing w:after="0" w:line="240" w:lineRule="auto"/>
              <w:rPr>
                <w:rFonts w:ascii="Verdana" w:eastAsiaTheme="minorHAnsi" w:hAnsi="Verdana" w:cstheme="minorBidi"/>
                <w:b/>
                <w:sz w:val="18"/>
                <w:szCs w:val="18"/>
                <w:u w:val="single"/>
              </w:rPr>
            </w:pPr>
            <w:r w:rsidRPr="00025B12">
              <w:rPr>
                <w:rFonts w:ascii="Verdana" w:eastAsiaTheme="minorHAnsi" w:hAnsi="Verdana" w:cstheme="minorBidi"/>
                <w:sz w:val="18"/>
                <w:szCs w:val="18"/>
              </w:rPr>
              <w:t>-</w:t>
            </w:r>
          </w:p>
        </w:tc>
      </w:tr>
    </w:tbl>
    <w:p w:rsidR="00403468" w:rsidRPr="00025B12" w:rsidRDefault="00403468" w:rsidP="00E21A26">
      <w:pPr>
        <w:rPr>
          <w:rFonts w:ascii="Verdana" w:hAnsi="Verdana"/>
          <w:b/>
          <w:sz w:val="24"/>
          <w:szCs w:val="24"/>
        </w:rPr>
      </w:pPr>
      <w:r w:rsidRPr="00025B12">
        <w:br w:type="page"/>
      </w:r>
      <w:r w:rsidRPr="00025B12">
        <w:rPr>
          <w:rFonts w:ascii="Verdana" w:hAnsi="Verdana"/>
          <w:b/>
          <w:sz w:val="24"/>
          <w:szCs w:val="24"/>
        </w:rPr>
        <w:lastRenderedPageBreak/>
        <w:t>I.6 Inovativnost</w:t>
      </w:r>
    </w:p>
    <w:p w:rsidR="00403468" w:rsidRPr="00025B12" w:rsidRDefault="00403468" w:rsidP="004034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1958"/>
        <w:gridCol w:w="2261"/>
        <w:gridCol w:w="2094"/>
        <w:gridCol w:w="1597"/>
      </w:tblGrid>
      <w:tr w:rsidR="00403468" w:rsidRPr="00025B12" w:rsidTr="00A9209D">
        <w:trPr>
          <w:trHeight w:val="425"/>
        </w:trPr>
        <w:tc>
          <w:tcPr>
            <w:tcW w:w="1591" w:type="dxa"/>
            <w:tcBorders>
              <w:bottom w:val="single" w:sz="4" w:space="0" w:color="auto"/>
              <w:right w:val="single" w:sz="4" w:space="0" w:color="auto"/>
            </w:tcBorders>
            <w:shd w:val="clear" w:color="auto" w:fill="663399"/>
            <w:vAlign w:val="center"/>
          </w:tcPr>
          <w:p w:rsidR="00403468" w:rsidRPr="00025B12" w:rsidRDefault="00403468"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br w:type="page"/>
            </w:r>
            <w:r w:rsidRPr="00025B12">
              <w:rPr>
                <w:rFonts w:ascii="Verdana" w:eastAsiaTheme="minorHAnsi" w:hAnsi="Verdana" w:cstheme="minorBidi"/>
                <w:b/>
                <w:color w:val="FFFFFF" w:themeColor="background1"/>
                <w:sz w:val="18"/>
                <w:szCs w:val="18"/>
              </w:rPr>
              <w:br w:type="page"/>
            </w:r>
            <w:bookmarkStart w:id="59" w:name="I61"/>
            <w:r w:rsidRPr="00025B12">
              <w:rPr>
                <w:rFonts w:ascii="Verdana" w:eastAsiaTheme="minorHAnsi" w:hAnsi="Verdana" w:cstheme="minorBidi"/>
                <w:b/>
                <w:color w:val="FFFFFF" w:themeColor="background1"/>
                <w:sz w:val="18"/>
                <w:szCs w:val="18"/>
              </w:rPr>
              <w:t>I.6.1</w:t>
            </w:r>
            <w:bookmarkEnd w:id="59"/>
          </w:p>
        </w:tc>
        <w:tc>
          <w:tcPr>
            <w:tcW w:w="9091" w:type="dxa"/>
            <w:gridSpan w:val="4"/>
            <w:vMerge w:val="restart"/>
            <w:tcBorders>
              <w:top w:val="single" w:sz="4" w:space="0" w:color="auto"/>
              <w:left w:val="single" w:sz="4" w:space="0" w:color="auto"/>
              <w:right w:val="single" w:sz="4" w:space="0" w:color="auto"/>
            </w:tcBorders>
            <w:shd w:val="clear" w:color="auto" w:fill="663399"/>
            <w:vAlign w:val="center"/>
          </w:tcPr>
          <w:p w:rsidR="00403468" w:rsidRPr="00025B12" w:rsidRDefault="00403468" w:rsidP="00403468">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Inovační kapacita</w:t>
            </w:r>
          </w:p>
        </w:tc>
      </w:tr>
      <w:tr w:rsidR="00403468" w:rsidRPr="00025B12" w:rsidTr="00A9209D">
        <w:trPr>
          <w:trHeight w:val="360"/>
        </w:trPr>
        <w:tc>
          <w:tcPr>
            <w:tcW w:w="1591" w:type="dxa"/>
            <w:tcBorders>
              <w:top w:val="single" w:sz="4" w:space="0" w:color="auto"/>
              <w:bottom w:val="single" w:sz="4" w:space="0" w:color="auto"/>
              <w:right w:val="single" w:sz="4" w:space="0" w:color="auto"/>
            </w:tcBorders>
            <w:shd w:val="clear" w:color="auto" w:fill="663399"/>
            <w:vAlign w:val="center"/>
          </w:tcPr>
          <w:p w:rsidR="00403468" w:rsidRPr="00025B12" w:rsidRDefault="00DD020F" w:rsidP="0040346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9091" w:type="dxa"/>
            <w:gridSpan w:val="4"/>
            <w:vMerge/>
            <w:tcBorders>
              <w:left w:val="single" w:sz="4" w:space="0" w:color="auto"/>
              <w:bottom w:val="single" w:sz="4" w:space="0" w:color="auto"/>
              <w:right w:val="single"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123CB7">
        <w:trPr>
          <w:trHeight w:val="360"/>
        </w:trPr>
        <w:tc>
          <w:tcPr>
            <w:tcW w:w="1591" w:type="dxa"/>
            <w:tcBorders>
              <w:top w:val="single"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2078"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618"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478"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917" w:type="dxa"/>
            <w:tcBorders>
              <w:top w:val="single" w:sz="4" w:space="0" w:color="auto"/>
              <w:left w:val="dotted" w:sz="4" w:space="0" w:color="auto"/>
              <w:bottom w:val="dotted" w:sz="4" w:space="0" w:color="auto"/>
            </w:tcBorders>
            <w:vAlign w:val="center"/>
          </w:tcPr>
          <w:p w:rsidR="00403468" w:rsidRPr="00025B12" w:rsidRDefault="00403468" w:rsidP="00123CB7">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03468" w:rsidRPr="00025B12" w:rsidTr="00A9209D">
        <w:trPr>
          <w:trHeight w:val="360"/>
        </w:trPr>
        <w:tc>
          <w:tcPr>
            <w:tcW w:w="1591" w:type="dxa"/>
            <w:tcBorders>
              <w:top w:val="dotted"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2078" w:type="dxa"/>
            <w:tcBorders>
              <w:top w:val="dotted" w:sz="4" w:space="0" w:color="auto"/>
              <w:left w:val="dotted" w:sz="4" w:space="0" w:color="auto"/>
              <w:bottom w:val="dotted" w:sz="4" w:space="0" w:color="auto"/>
              <w:right w:val="dotted" w:sz="4" w:space="0" w:color="auto"/>
            </w:tcBorders>
            <w:vAlign w:val="center"/>
          </w:tcPr>
          <w:p w:rsidR="00403468" w:rsidRPr="00025B12" w:rsidRDefault="00665F1D" w:rsidP="00403468">
            <w:pPr>
              <w:spacing w:after="0" w:line="240" w:lineRule="auto"/>
              <w:jc w:val="center"/>
              <w:rPr>
                <w:rFonts w:ascii="Verdana" w:eastAsiaTheme="minorHAnsi" w:hAnsi="Verdana" w:cstheme="minorBidi"/>
                <w:sz w:val="18"/>
                <w:szCs w:val="18"/>
              </w:rPr>
            </w:pPr>
            <w:hyperlink w:anchor="IMD" w:history="1">
              <w:r w:rsidR="00403468" w:rsidRPr="00025B12">
                <w:rPr>
                  <w:rStyle w:val="Hypertextovodkaz"/>
                  <w:rFonts w:ascii="Verdana" w:hAnsi="Verdana"/>
                  <w:sz w:val="18"/>
                  <w:szCs w:val="18"/>
                </w:rPr>
                <w:t>IMD World Competitiveness Report</w:t>
              </w:r>
            </w:hyperlink>
          </w:p>
        </w:tc>
        <w:tc>
          <w:tcPr>
            <w:tcW w:w="2618"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IMD</w:t>
            </w:r>
          </w:p>
        </w:tc>
        <w:tc>
          <w:tcPr>
            <w:tcW w:w="2478"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917" w:type="dxa"/>
            <w:tcBorders>
              <w:top w:val="dotted" w:sz="4" w:space="0" w:color="auto"/>
              <w:left w:val="dotted" w:sz="4" w:space="0" w:color="auto"/>
              <w:bottom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2010</w:t>
            </w:r>
          </w:p>
        </w:tc>
      </w:tr>
      <w:tr w:rsidR="00403468" w:rsidRPr="00025B12" w:rsidTr="00A9209D">
        <w:trPr>
          <w:trHeight w:val="360"/>
        </w:trPr>
        <w:tc>
          <w:tcPr>
            <w:tcW w:w="1591" w:type="dxa"/>
            <w:tcBorders>
              <w:top w:val="dotted"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2078"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618"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478"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917" w:type="dxa"/>
            <w:tcBorders>
              <w:top w:val="dotted" w:sz="4" w:space="0" w:color="auto"/>
              <w:left w:val="dotted" w:sz="4" w:space="0" w:color="auto"/>
              <w:bottom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03468" w:rsidRPr="00025B12" w:rsidTr="00A9209D">
        <w:trPr>
          <w:trHeight w:val="360"/>
        </w:trPr>
        <w:tc>
          <w:tcPr>
            <w:tcW w:w="1591" w:type="dxa"/>
            <w:tcBorders>
              <w:top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2078" w:type="dxa"/>
            <w:tcBorders>
              <w:top w:val="dotted" w:sz="4" w:space="0" w:color="auto"/>
              <w:left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618" w:type="dxa"/>
            <w:tcBorders>
              <w:top w:val="dotted" w:sz="4" w:space="0" w:color="auto"/>
              <w:left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478" w:type="dxa"/>
            <w:tcBorders>
              <w:top w:val="dotted" w:sz="4" w:space="0" w:color="auto"/>
              <w:left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917" w:type="dxa"/>
            <w:tcBorders>
              <w:top w:val="dotted" w:sz="4" w:space="0" w:color="auto"/>
              <w:lef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03468" w:rsidRPr="00025B12" w:rsidTr="00A9209D">
        <w:trPr>
          <w:trHeight w:val="274"/>
        </w:trPr>
        <w:tc>
          <w:tcPr>
            <w:tcW w:w="8765" w:type="dxa"/>
            <w:gridSpan w:val="4"/>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917" w:type="dxa"/>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A9209D">
        <w:trPr>
          <w:trHeight w:val="1746"/>
        </w:trPr>
        <w:tc>
          <w:tcPr>
            <w:tcW w:w="10682"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03468" w:rsidRPr="00025B12" w:rsidRDefault="00403468" w:rsidP="00403468">
            <w:pPr>
              <w:jc w:val="both"/>
              <w:rPr>
                <w:rFonts w:ascii="Verdana" w:hAnsi="Verdana"/>
                <w:sz w:val="18"/>
                <w:szCs w:val="18"/>
              </w:rPr>
            </w:pPr>
            <w:r w:rsidRPr="00025B12">
              <w:rPr>
                <w:rFonts w:ascii="Verdana" w:hAnsi="Verdana"/>
                <w:sz w:val="18"/>
                <w:szCs w:val="18"/>
              </w:rPr>
              <w:t xml:space="preserve">Inovativnost ekonomiky výrazně souvisí s dalším vzděláváním. Kvalifikovaná pracovní síla ve vysoce odborných profesích, která udržuje krok s nejnovějšími poznatky z oboru, je předpokladem nastartování inovačních aktivit. Zavádění inovací pak zase vyžaduje další vzdělávání i na úrovni </w:t>
            </w:r>
            <w:r w:rsidR="00B349F5" w:rsidRPr="00025B12">
              <w:rPr>
                <w:rFonts w:ascii="Verdana" w:hAnsi="Verdana"/>
                <w:sz w:val="18"/>
                <w:szCs w:val="18"/>
              </w:rPr>
              <w:t>řadových pracovníků, kteří mus</w:t>
            </w:r>
            <w:r w:rsidRPr="00025B12">
              <w:rPr>
                <w:rFonts w:ascii="Verdana" w:hAnsi="Verdana"/>
                <w:sz w:val="18"/>
                <w:szCs w:val="18"/>
              </w:rPr>
              <w:t>í být zaškolení pro nové produkty, technologie či procesy.</w:t>
            </w:r>
          </w:p>
        </w:tc>
      </w:tr>
      <w:tr w:rsidR="00403468" w:rsidRPr="00025B12" w:rsidTr="00A9209D">
        <w:trPr>
          <w:trHeight w:val="2030"/>
        </w:trPr>
        <w:tc>
          <w:tcPr>
            <w:tcW w:w="10682"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03468" w:rsidRPr="00025B12" w:rsidRDefault="00403468" w:rsidP="00403468">
            <w:pPr>
              <w:jc w:val="both"/>
              <w:rPr>
                <w:rFonts w:ascii="Verdana" w:hAnsi="Verdana"/>
                <w:sz w:val="18"/>
                <w:szCs w:val="18"/>
              </w:rPr>
            </w:pPr>
            <w:r w:rsidRPr="00025B12">
              <w:rPr>
                <w:rFonts w:ascii="Verdana" w:hAnsi="Verdana"/>
                <w:sz w:val="18"/>
                <w:szCs w:val="18"/>
              </w:rPr>
              <w:t xml:space="preserve">Indikátor celkového inovačního potenciálu ukazuje hodnotu inovační kapacity země na desetistupňové škále a hodnotí inovační kapacitu firem vytvářet nové produkty, procesy a/nebo služby. Indikátor je výsledkem šetření názorů respondentů, kteří jsou vybíráni s ohledem na strukturu ekonomiky dané země a tvoří je představitelé firem v dané zemi. Respondenti hodnotí inovační kapacitu země na šestistupňové škále, která je následně přepočítávána na desetistupňovou. </w:t>
            </w:r>
          </w:p>
        </w:tc>
      </w:tr>
      <w:tr w:rsidR="00403468" w:rsidRPr="00025B12" w:rsidTr="00A9209D">
        <w:trPr>
          <w:trHeight w:val="425"/>
        </w:trPr>
        <w:tc>
          <w:tcPr>
            <w:tcW w:w="10682"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03468" w:rsidRPr="00025B12" w:rsidRDefault="00403468" w:rsidP="00403468">
            <w:pPr>
              <w:jc w:val="both"/>
              <w:rPr>
                <w:rFonts w:ascii="Verdana" w:hAnsi="Verdana"/>
                <w:sz w:val="18"/>
                <w:szCs w:val="18"/>
              </w:rPr>
            </w:pPr>
            <w:r w:rsidRPr="00025B12">
              <w:rPr>
                <w:rFonts w:ascii="Verdana" w:hAnsi="Verdana"/>
                <w:sz w:val="18"/>
                <w:szCs w:val="18"/>
              </w:rPr>
              <w:t>Indikátor je v hotové podobě přebírán z pravidelně vydávané ročenky IMD World Competitiveness Report. Pro regionální srovnání nejsou žádná srovnatelná data k dispozici.</w:t>
            </w:r>
          </w:p>
        </w:tc>
      </w:tr>
      <w:tr w:rsidR="00403468" w:rsidRPr="00025B12" w:rsidTr="00A9209D">
        <w:trPr>
          <w:trHeight w:val="837"/>
        </w:trPr>
        <w:tc>
          <w:tcPr>
            <w:tcW w:w="10682"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03468" w:rsidRPr="00025B12" w:rsidRDefault="00403468" w:rsidP="00403468">
            <w:pPr>
              <w:jc w:val="both"/>
              <w:rPr>
                <w:rFonts w:ascii="Verdana" w:hAnsi="Verdana"/>
                <w:sz w:val="18"/>
                <w:szCs w:val="18"/>
              </w:rPr>
            </w:pPr>
            <w:r w:rsidRPr="00025B12">
              <w:rPr>
                <w:rFonts w:ascii="Verdana" w:hAnsi="Verdana"/>
                <w:sz w:val="18"/>
                <w:szCs w:val="18"/>
              </w:rPr>
              <w:t>-</w:t>
            </w:r>
          </w:p>
        </w:tc>
      </w:tr>
    </w:tbl>
    <w:p w:rsidR="00403468" w:rsidRPr="00025B12" w:rsidRDefault="00403468" w:rsidP="00403468"/>
    <w:p w:rsidR="00403468" w:rsidRPr="00025B12" w:rsidRDefault="00403468" w:rsidP="00403468">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1694"/>
        <w:gridCol w:w="2329"/>
        <w:gridCol w:w="2157"/>
        <w:gridCol w:w="1643"/>
      </w:tblGrid>
      <w:tr w:rsidR="00403468" w:rsidRPr="00025B12" w:rsidTr="00053437">
        <w:trPr>
          <w:trHeight w:val="425"/>
        </w:trPr>
        <w:tc>
          <w:tcPr>
            <w:tcW w:w="1465" w:type="dxa"/>
            <w:tcBorders>
              <w:bottom w:val="single" w:sz="4" w:space="0" w:color="auto"/>
              <w:right w:val="single" w:sz="4" w:space="0" w:color="auto"/>
            </w:tcBorders>
            <w:shd w:val="clear" w:color="auto" w:fill="663399"/>
            <w:vAlign w:val="center"/>
          </w:tcPr>
          <w:p w:rsidR="00403468" w:rsidRPr="00025B12" w:rsidRDefault="00403468" w:rsidP="008D36D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br w:type="page"/>
            </w:r>
            <w:r w:rsidRPr="00025B12">
              <w:rPr>
                <w:rFonts w:ascii="Verdana" w:eastAsiaTheme="minorHAnsi" w:hAnsi="Verdana" w:cstheme="minorBidi"/>
                <w:b/>
                <w:color w:val="FFFFFF" w:themeColor="background1"/>
                <w:sz w:val="18"/>
                <w:szCs w:val="18"/>
              </w:rPr>
              <w:br w:type="page"/>
            </w:r>
            <w:bookmarkStart w:id="60" w:name="I62"/>
            <w:r w:rsidRPr="00025B12">
              <w:rPr>
                <w:rFonts w:ascii="Verdana" w:eastAsiaTheme="minorHAnsi" w:hAnsi="Verdana" w:cstheme="minorBidi"/>
                <w:b/>
                <w:color w:val="FFFFFF" w:themeColor="background1"/>
                <w:sz w:val="18"/>
                <w:szCs w:val="18"/>
              </w:rPr>
              <w:t>I.6.</w:t>
            </w:r>
            <w:r w:rsidR="008D36D8" w:rsidRPr="00025B12">
              <w:rPr>
                <w:rFonts w:ascii="Verdana" w:eastAsiaTheme="minorHAnsi" w:hAnsi="Verdana" w:cstheme="minorBidi"/>
                <w:b/>
                <w:color w:val="FFFFFF" w:themeColor="background1"/>
                <w:sz w:val="18"/>
                <w:szCs w:val="18"/>
              </w:rPr>
              <w:t>d1</w:t>
            </w:r>
            <w:bookmarkEnd w:id="60"/>
          </w:p>
        </w:tc>
        <w:tc>
          <w:tcPr>
            <w:tcW w:w="7823" w:type="dxa"/>
            <w:gridSpan w:val="4"/>
            <w:vMerge w:val="restart"/>
            <w:tcBorders>
              <w:top w:val="single" w:sz="4" w:space="0" w:color="auto"/>
              <w:left w:val="single" w:sz="4" w:space="0" w:color="auto"/>
              <w:right w:val="single" w:sz="4" w:space="0" w:color="auto"/>
            </w:tcBorders>
            <w:shd w:val="clear" w:color="auto" w:fill="663399"/>
            <w:vAlign w:val="center"/>
          </w:tcPr>
          <w:p w:rsidR="00403468" w:rsidRPr="00025B12" w:rsidRDefault="00403468" w:rsidP="00403468">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Podniky vzdělávající v souvislosti s inovacemi</w:t>
            </w:r>
          </w:p>
        </w:tc>
      </w:tr>
      <w:tr w:rsidR="00403468" w:rsidRPr="00025B12" w:rsidTr="00053437">
        <w:trPr>
          <w:trHeight w:val="360"/>
        </w:trPr>
        <w:tc>
          <w:tcPr>
            <w:tcW w:w="1465" w:type="dxa"/>
            <w:tcBorders>
              <w:top w:val="single" w:sz="4" w:space="0" w:color="auto"/>
              <w:bottom w:val="single" w:sz="4" w:space="0" w:color="auto"/>
              <w:right w:val="single" w:sz="4" w:space="0" w:color="auto"/>
            </w:tcBorders>
            <w:shd w:val="clear" w:color="auto" w:fill="663399"/>
            <w:vAlign w:val="center"/>
          </w:tcPr>
          <w:p w:rsidR="00403468" w:rsidRPr="00025B12" w:rsidRDefault="00DD020F" w:rsidP="00DD020F">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23" w:type="dxa"/>
            <w:gridSpan w:val="4"/>
            <w:vMerge/>
            <w:tcBorders>
              <w:left w:val="single" w:sz="4" w:space="0" w:color="auto"/>
              <w:bottom w:val="single" w:sz="4" w:space="0" w:color="auto"/>
              <w:right w:val="single"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296FE3">
        <w:trPr>
          <w:trHeight w:val="360"/>
        </w:trPr>
        <w:tc>
          <w:tcPr>
            <w:tcW w:w="1465" w:type="dxa"/>
            <w:tcBorders>
              <w:top w:val="single"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694"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29"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7" w:type="dxa"/>
            <w:tcBorders>
              <w:top w:val="single"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43" w:type="dxa"/>
            <w:tcBorders>
              <w:top w:val="single" w:sz="4" w:space="0" w:color="auto"/>
              <w:left w:val="dotted" w:sz="4" w:space="0" w:color="auto"/>
              <w:bottom w:val="dotted" w:sz="4" w:space="0" w:color="auto"/>
            </w:tcBorders>
            <w:vAlign w:val="center"/>
          </w:tcPr>
          <w:p w:rsidR="00403468" w:rsidRPr="00025B12" w:rsidRDefault="00403468"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03468" w:rsidRPr="00025B12" w:rsidTr="00053437">
        <w:trPr>
          <w:trHeight w:val="360"/>
        </w:trPr>
        <w:tc>
          <w:tcPr>
            <w:tcW w:w="1465" w:type="dxa"/>
            <w:tcBorders>
              <w:top w:val="dotted"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94" w:type="dxa"/>
            <w:tcBorders>
              <w:top w:val="dotted" w:sz="4" w:space="0" w:color="auto"/>
              <w:left w:val="dotted" w:sz="4" w:space="0" w:color="auto"/>
              <w:bottom w:val="dotted" w:sz="4" w:space="0" w:color="auto"/>
              <w:right w:val="dotted" w:sz="4" w:space="0" w:color="auto"/>
            </w:tcBorders>
            <w:vAlign w:val="center"/>
          </w:tcPr>
          <w:p w:rsidR="00403468" w:rsidRPr="00025B12" w:rsidRDefault="00665F1D" w:rsidP="00403468">
            <w:pPr>
              <w:spacing w:after="0" w:line="240" w:lineRule="auto"/>
              <w:jc w:val="center"/>
              <w:rPr>
                <w:rFonts w:ascii="Verdana" w:eastAsiaTheme="minorHAnsi" w:hAnsi="Verdana" w:cstheme="minorBidi"/>
                <w:sz w:val="18"/>
                <w:szCs w:val="18"/>
              </w:rPr>
            </w:pPr>
            <w:hyperlink w:anchor="CIS" w:history="1">
              <w:r w:rsidR="00403468" w:rsidRPr="00025B12">
                <w:rPr>
                  <w:rStyle w:val="Hypertextovodkaz"/>
                  <w:rFonts w:ascii="Verdana" w:eastAsiaTheme="minorHAnsi" w:hAnsi="Verdana" w:cstheme="minorBidi"/>
                  <w:sz w:val="18"/>
                  <w:szCs w:val="18"/>
                </w:rPr>
                <w:t>CIS</w:t>
              </w:r>
            </w:hyperlink>
          </w:p>
        </w:tc>
        <w:tc>
          <w:tcPr>
            <w:tcW w:w="2329"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57"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 roky</w:t>
            </w:r>
          </w:p>
        </w:tc>
        <w:tc>
          <w:tcPr>
            <w:tcW w:w="1643" w:type="dxa"/>
            <w:tcBorders>
              <w:top w:val="dotted" w:sz="4" w:space="0" w:color="auto"/>
              <w:left w:val="dotted" w:sz="4" w:space="0" w:color="auto"/>
              <w:bottom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2004</w:t>
            </w:r>
          </w:p>
        </w:tc>
      </w:tr>
      <w:tr w:rsidR="00403468" w:rsidRPr="00025B12" w:rsidTr="00053437">
        <w:trPr>
          <w:trHeight w:val="360"/>
        </w:trPr>
        <w:tc>
          <w:tcPr>
            <w:tcW w:w="1465" w:type="dxa"/>
            <w:tcBorders>
              <w:top w:val="dotted" w:sz="4" w:space="0" w:color="auto"/>
              <w:bottom w:val="dotted" w:sz="4" w:space="0" w:color="auto"/>
              <w:right w:val="dotted" w:sz="4" w:space="0" w:color="auto"/>
            </w:tcBorders>
          </w:tcPr>
          <w:p w:rsidR="00403468" w:rsidRPr="00025B12" w:rsidRDefault="00403468"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94" w:type="dxa"/>
            <w:tcBorders>
              <w:top w:val="dotted" w:sz="4" w:space="0" w:color="auto"/>
              <w:left w:val="dotted" w:sz="4" w:space="0" w:color="auto"/>
              <w:bottom w:val="dotted" w:sz="4" w:space="0" w:color="auto"/>
              <w:right w:val="dotted" w:sz="4" w:space="0" w:color="auto"/>
            </w:tcBorders>
            <w:vAlign w:val="center"/>
          </w:tcPr>
          <w:p w:rsidR="00403468" w:rsidRPr="00025B12" w:rsidRDefault="00665F1D" w:rsidP="00403468">
            <w:pPr>
              <w:spacing w:after="0" w:line="240" w:lineRule="auto"/>
              <w:jc w:val="center"/>
              <w:rPr>
                <w:rFonts w:ascii="Verdana" w:eastAsiaTheme="minorHAnsi" w:hAnsi="Verdana" w:cstheme="minorBidi"/>
                <w:sz w:val="18"/>
                <w:szCs w:val="18"/>
              </w:rPr>
            </w:pPr>
            <w:hyperlink w:anchor="CIS" w:history="1">
              <w:r w:rsidR="00403468" w:rsidRPr="00025B12">
                <w:rPr>
                  <w:rStyle w:val="Hypertextovodkaz"/>
                  <w:rFonts w:ascii="Verdana" w:eastAsiaTheme="minorHAnsi" w:hAnsi="Verdana" w:cstheme="minorBidi"/>
                  <w:sz w:val="18"/>
                  <w:szCs w:val="18"/>
                </w:rPr>
                <w:t>Výkaz TI</w:t>
              </w:r>
            </w:hyperlink>
          </w:p>
        </w:tc>
        <w:tc>
          <w:tcPr>
            <w:tcW w:w="2329"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7" w:type="dxa"/>
            <w:tcBorders>
              <w:top w:val="dotted" w:sz="4" w:space="0" w:color="auto"/>
              <w:left w:val="dotted" w:sz="4" w:space="0" w:color="auto"/>
              <w:bottom w:val="dotted" w:sz="4" w:space="0" w:color="auto"/>
              <w:right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 roky</w:t>
            </w:r>
          </w:p>
        </w:tc>
        <w:tc>
          <w:tcPr>
            <w:tcW w:w="1643" w:type="dxa"/>
            <w:tcBorders>
              <w:top w:val="dotted" w:sz="4" w:space="0" w:color="auto"/>
              <w:left w:val="dotted" w:sz="4" w:space="0" w:color="auto"/>
              <w:bottom w:val="dotted" w:sz="4" w:space="0" w:color="auto"/>
            </w:tcBorders>
            <w:vAlign w:val="center"/>
          </w:tcPr>
          <w:p w:rsidR="00403468" w:rsidRPr="00025B12" w:rsidRDefault="00403468"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2004</w:t>
            </w:r>
          </w:p>
        </w:tc>
      </w:tr>
      <w:tr w:rsidR="00053437" w:rsidRPr="00025B12" w:rsidTr="00053437">
        <w:trPr>
          <w:trHeight w:val="360"/>
        </w:trPr>
        <w:tc>
          <w:tcPr>
            <w:tcW w:w="1465" w:type="dxa"/>
            <w:tcBorders>
              <w:top w:val="dotted" w:sz="4" w:space="0" w:color="auto"/>
              <w:right w:val="dotted" w:sz="4" w:space="0" w:color="auto"/>
            </w:tcBorders>
          </w:tcPr>
          <w:p w:rsidR="00053437" w:rsidRPr="00025B12" w:rsidRDefault="00053437" w:rsidP="00403468">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94" w:type="dxa"/>
            <w:tcBorders>
              <w:top w:val="dotted" w:sz="4" w:space="0" w:color="auto"/>
              <w:left w:val="dotted" w:sz="4" w:space="0" w:color="auto"/>
              <w:right w:val="dotted" w:sz="4" w:space="0" w:color="auto"/>
            </w:tcBorders>
            <w:vAlign w:val="center"/>
          </w:tcPr>
          <w:p w:rsidR="00053437" w:rsidRPr="00025B12" w:rsidRDefault="00665F1D" w:rsidP="00672756">
            <w:pPr>
              <w:spacing w:after="0" w:line="240" w:lineRule="auto"/>
              <w:jc w:val="center"/>
              <w:rPr>
                <w:rFonts w:ascii="Verdana" w:eastAsiaTheme="minorHAnsi" w:hAnsi="Verdana" w:cstheme="minorBidi"/>
                <w:sz w:val="18"/>
                <w:szCs w:val="18"/>
              </w:rPr>
            </w:pPr>
            <w:hyperlink w:anchor="CIS" w:history="1">
              <w:r w:rsidR="00053437" w:rsidRPr="00025B12">
                <w:rPr>
                  <w:rStyle w:val="Hypertextovodkaz"/>
                  <w:rFonts w:ascii="Verdana" w:eastAsiaTheme="minorHAnsi" w:hAnsi="Verdana" w:cstheme="minorBidi"/>
                  <w:sz w:val="18"/>
                  <w:szCs w:val="18"/>
                </w:rPr>
                <w:t>Výkaz TI</w:t>
              </w:r>
            </w:hyperlink>
          </w:p>
        </w:tc>
        <w:tc>
          <w:tcPr>
            <w:tcW w:w="2329" w:type="dxa"/>
            <w:tcBorders>
              <w:top w:val="dotted" w:sz="4" w:space="0" w:color="auto"/>
              <w:left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7" w:type="dxa"/>
            <w:tcBorders>
              <w:top w:val="dotted" w:sz="4" w:space="0" w:color="auto"/>
              <w:left w:val="dotted" w:sz="4" w:space="0" w:color="auto"/>
              <w:righ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 roky</w:t>
            </w:r>
          </w:p>
        </w:tc>
        <w:tc>
          <w:tcPr>
            <w:tcW w:w="1643" w:type="dxa"/>
            <w:tcBorders>
              <w:top w:val="dotted" w:sz="4" w:space="0" w:color="auto"/>
              <w:left w:val="dotted" w:sz="4" w:space="0" w:color="auto"/>
            </w:tcBorders>
            <w:vAlign w:val="center"/>
          </w:tcPr>
          <w:p w:rsidR="00053437" w:rsidRPr="00025B12" w:rsidRDefault="00053437" w:rsidP="00403468">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2006-8</w:t>
            </w:r>
          </w:p>
        </w:tc>
      </w:tr>
      <w:tr w:rsidR="00403468" w:rsidRPr="00025B12" w:rsidTr="00053437">
        <w:trPr>
          <w:trHeight w:val="274"/>
        </w:trPr>
        <w:tc>
          <w:tcPr>
            <w:tcW w:w="7645" w:type="dxa"/>
            <w:gridSpan w:val="4"/>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c>
          <w:tcPr>
            <w:tcW w:w="1643" w:type="dxa"/>
            <w:shd w:val="clear" w:color="auto" w:fill="663399"/>
          </w:tcPr>
          <w:p w:rsidR="00403468" w:rsidRPr="00025B12" w:rsidRDefault="00403468" w:rsidP="00403468">
            <w:pPr>
              <w:spacing w:after="0" w:line="240" w:lineRule="auto"/>
              <w:jc w:val="center"/>
              <w:rPr>
                <w:rFonts w:ascii="Verdana" w:eastAsiaTheme="minorHAnsi" w:hAnsi="Verdana" w:cstheme="minorBidi"/>
                <w:sz w:val="18"/>
                <w:szCs w:val="18"/>
              </w:rPr>
            </w:pPr>
          </w:p>
        </w:tc>
      </w:tr>
      <w:tr w:rsidR="00403468" w:rsidRPr="00025B12" w:rsidTr="00053437">
        <w:trPr>
          <w:trHeight w:val="1746"/>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03468" w:rsidRPr="00025B12" w:rsidRDefault="00403468" w:rsidP="00403468">
            <w:pPr>
              <w:jc w:val="both"/>
              <w:rPr>
                <w:rFonts w:ascii="Verdana" w:hAnsi="Verdana"/>
                <w:sz w:val="18"/>
                <w:szCs w:val="18"/>
              </w:rPr>
            </w:pPr>
            <w:r w:rsidRPr="00025B12">
              <w:rPr>
                <w:rFonts w:ascii="Verdana" w:hAnsi="Verdana"/>
                <w:sz w:val="18"/>
                <w:szCs w:val="18"/>
              </w:rPr>
              <w:t>Inovativnost ekonomiky výrazně souvisí s dalším vzděláváním. Kvalifikovaná pracovní síla ve vysoce odborných profesích, která udržuje krok s nejnovějšími poznatky z oboru, je předpokladem nastartování inovačních aktivit. Zavádění inovací pak zase vyžaduje další vzdělávání i na úrovni řadových pracovníků, kteří musejí být zaškolení pro nové produkty, technologie či procesy. Zatímco indikátor I.6.1 hodnotí potenc</w:t>
            </w:r>
            <w:r w:rsidR="00BC458A" w:rsidRPr="00025B12">
              <w:rPr>
                <w:rFonts w:ascii="Verdana" w:hAnsi="Verdana"/>
                <w:sz w:val="18"/>
                <w:szCs w:val="18"/>
              </w:rPr>
              <w:t>iál pro inovace, indikátor I.6.d1</w:t>
            </w:r>
            <w:r w:rsidRPr="00025B12">
              <w:rPr>
                <w:rFonts w:ascii="Verdana" w:hAnsi="Verdana"/>
                <w:sz w:val="18"/>
                <w:szCs w:val="18"/>
              </w:rPr>
              <w:t xml:space="preserve"> ukazuje spíše důsledky rozsahu zaváděných inovací pro další vzdělávání.</w:t>
            </w:r>
          </w:p>
        </w:tc>
      </w:tr>
      <w:tr w:rsidR="00403468" w:rsidRPr="00025B12" w:rsidTr="00053437">
        <w:trPr>
          <w:trHeight w:val="1485"/>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03468" w:rsidRPr="00025B12" w:rsidRDefault="00403468" w:rsidP="00403468">
            <w:pPr>
              <w:jc w:val="both"/>
              <w:rPr>
                <w:rFonts w:ascii="Verdana" w:hAnsi="Verdana"/>
                <w:sz w:val="18"/>
                <w:szCs w:val="18"/>
              </w:rPr>
            </w:pPr>
            <w:r w:rsidRPr="00025B12">
              <w:rPr>
                <w:rFonts w:ascii="Verdana" w:hAnsi="Verdana"/>
                <w:sz w:val="18"/>
                <w:szCs w:val="18"/>
              </w:rPr>
              <w:t xml:space="preserve">Indikátor je vypočten jako podíl podniků, které vzdělávají v souvislosti se zavedenou inovací, ze všech podniků, které zavedly nějakou technologickou inovaci (produktovou či procesní; nikoli marketingovou ani organizační). </w:t>
            </w:r>
          </w:p>
        </w:tc>
      </w:tr>
      <w:tr w:rsidR="00403468" w:rsidRPr="00025B12" w:rsidTr="00053437">
        <w:trPr>
          <w:trHeight w:val="425"/>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03468" w:rsidRPr="00025B12" w:rsidRDefault="00403468" w:rsidP="00403468">
            <w:pPr>
              <w:jc w:val="both"/>
              <w:rPr>
                <w:rFonts w:ascii="Verdana" w:hAnsi="Verdana"/>
                <w:sz w:val="18"/>
                <w:szCs w:val="18"/>
              </w:rPr>
            </w:pPr>
            <w:r w:rsidRPr="00025B12">
              <w:rPr>
                <w:rFonts w:ascii="Verdana" w:hAnsi="Verdana"/>
                <w:sz w:val="18"/>
                <w:szCs w:val="18"/>
              </w:rPr>
              <w:t>Indikátor vychází z výsledků šetření Community Innovation Survey. Pro mezinárodní srovnání je přebírán z webových stránek Eurostatu. Pro regionální srovnání je indikátor převzat z publikace ČSÚ, publikovány jsou výsledky pro oblasti NUTS2.</w:t>
            </w:r>
          </w:p>
        </w:tc>
      </w:tr>
      <w:tr w:rsidR="00403468" w:rsidRPr="00025B12" w:rsidTr="00053437">
        <w:trPr>
          <w:trHeight w:val="837"/>
        </w:trPr>
        <w:tc>
          <w:tcPr>
            <w:tcW w:w="9288" w:type="dxa"/>
            <w:gridSpan w:val="5"/>
          </w:tcPr>
          <w:p w:rsidR="00403468" w:rsidRPr="00025B12" w:rsidRDefault="00403468" w:rsidP="00403468">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03468" w:rsidRPr="00025B12" w:rsidRDefault="00403468" w:rsidP="00403468">
            <w:pPr>
              <w:jc w:val="both"/>
              <w:rPr>
                <w:rFonts w:ascii="Verdana" w:hAnsi="Verdana"/>
                <w:sz w:val="18"/>
                <w:szCs w:val="18"/>
              </w:rPr>
            </w:pPr>
            <w:r w:rsidRPr="00025B12">
              <w:rPr>
                <w:rFonts w:ascii="Verdana" w:hAnsi="Verdana"/>
                <w:sz w:val="18"/>
                <w:szCs w:val="18"/>
              </w:rPr>
              <w:t>Ačkoli informace o školení je obsažena v dotaznících i za dřívější roky, v publikaci je informace v regionálním třídění pouze v posledním šetření (2006-2008), není dodržena jednotná struktura publikace ČSÚ.</w:t>
            </w:r>
          </w:p>
        </w:tc>
      </w:tr>
    </w:tbl>
    <w:p w:rsidR="00403468" w:rsidRPr="00025B12" w:rsidRDefault="00403468" w:rsidP="00403468"/>
    <w:p w:rsidR="00C43089" w:rsidRPr="00025B12" w:rsidRDefault="00403468" w:rsidP="00403468">
      <w:pPr>
        <w:jc w:val="both"/>
        <w:rPr>
          <w:rFonts w:ascii="Verdana" w:hAnsi="Verdana"/>
          <w:sz w:val="20"/>
          <w:szCs w:val="20"/>
        </w:rPr>
      </w:pPr>
      <w:r w:rsidRPr="00025B12">
        <w:br w:type="page"/>
      </w:r>
    </w:p>
    <w:p w:rsidR="00C43089" w:rsidRPr="00025B12" w:rsidRDefault="00C43089" w:rsidP="00D131AA">
      <w:pPr>
        <w:pStyle w:val="nadkonc3"/>
        <w:numPr>
          <w:ilvl w:val="2"/>
          <w:numId w:val="10"/>
        </w:numPr>
        <w:rPr>
          <w:caps/>
        </w:rPr>
      </w:pPr>
      <w:bookmarkStart w:id="61" w:name="_Toc289351178"/>
      <w:bookmarkStart w:id="62" w:name="_Toc289351260"/>
      <w:bookmarkStart w:id="63" w:name="_Toc295836805"/>
      <w:bookmarkStart w:id="64" w:name="_Toc304898621"/>
      <w:r w:rsidRPr="00025B12">
        <w:rPr>
          <w:caps/>
        </w:rPr>
        <w:t>Vstupy</w:t>
      </w:r>
      <w:bookmarkEnd w:id="61"/>
      <w:bookmarkEnd w:id="62"/>
      <w:bookmarkEnd w:id="63"/>
      <w:bookmarkEnd w:id="64"/>
    </w:p>
    <w:p w:rsidR="00C43089" w:rsidRPr="00025B12" w:rsidRDefault="00C43089" w:rsidP="00C43089">
      <w:pPr>
        <w:jc w:val="both"/>
        <w:rPr>
          <w:rFonts w:ascii="Verdana" w:hAnsi="Verdana"/>
          <w:sz w:val="20"/>
          <w:szCs w:val="20"/>
        </w:rPr>
      </w:pPr>
      <w:r w:rsidRPr="00025B12">
        <w:rPr>
          <w:rFonts w:ascii="Verdana" w:hAnsi="Verdana"/>
          <w:sz w:val="20"/>
          <w:szCs w:val="20"/>
        </w:rPr>
        <w:t>Pilíř Vstupy mapuje zdroje, které jsou k dispozici pro další vzdělávání a které jsou na něj používány. Jedná se o zdroje finanční, lidské a institucionální. V analýzách dalšího vzdělávání je pozornost obvykle zaměřena zejména na výstupy, na rozdíly především v účasti na různých formách dalšího vzdělávání. Výstupy jsou ale do značné míry výsledkem toho, kolik je do oblasti dalšího vzdělávání investováno z hlediska peněz i lidských a institucionálních zdrojů. Porovnáváním obou parametrů je pak možné usuzovat na efektivitu vynaložených prostředků.</w:t>
      </w:r>
    </w:p>
    <w:p w:rsidR="00C43089" w:rsidRPr="00025B12" w:rsidRDefault="00C43089" w:rsidP="00C43089">
      <w:pPr>
        <w:jc w:val="both"/>
        <w:rPr>
          <w:rFonts w:ascii="Verdana" w:hAnsi="Verdana"/>
          <w:sz w:val="20"/>
          <w:szCs w:val="20"/>
        </w:rPr>
      </w:pPr>
      <w:r w:rsidRPr="00025B12">
        <w:rPr>
          <w:rFonts w:ascii="Verdana" w:hAnsi="Verdana"/>
          <w:sz w:val="20"/>
          <w:szCs w:val="20"/>
        </w:rPr>
        <w:t>Monitoring vstupů do dalšího vzdělávání je poměrně obtížný, neboť zdroje využívané na podporu dalšího vzdělávání jsou často spojeny s dalšími oblastmi (počátečním vzděláváním, podporou zaměstnanosti apod.). Podíl investic do dalšího vzdělávání uvnitř těchto oblastí je často malý a obtížně identifikovatelný. Pro komplexní monitoring dalšího vzdělávání je však třeba indikátory o vstupech do dalšího vzdělávání mít, protože bez znalosti toho, kolik zdrojů bylo investováno, je velmi obtížné hodnotit výstupy a efektivitu dalšího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Pilíř vstupů je rozdělen na šest základních oblastí. První tři mapují finanční vstupy do dalšího vzdělávání, čtvrtá lidské zdroje a pátá a šestá institucionální kapacity.</w:t>
      </w:r>
    </w:p>
    <w:p w:rsidR="00C43089" w:rsidRPr="00025B12" w:rsidRDefault="00C43089" w:rsidP="00C43089">
      <w:pPr>
        <w:jc w:val="both"/>
        <w:rPr>
          <w:rFonts w:ascii="Verdana" w:hAnsi="Verdana"/>
          <w:sz w:val="20"/>
          <w:szCs w:val="20"/>
        </w:rPr>
      </w:pPr>
      <w:r w:rsidRPr="00025B12">
        <w:rPr>
          <w:rFonts w:ascii="Verdana" w:hAnsi="Verdana"/>
          <w:sz w:val="20"/>
          <w:szCs w:val="20"/>
        </w:rPr>
        <w:t>II.1 Výdaje jednotlivců na další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II.2 Výdaje podniků na další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II.3 Státní výdaje na podporu dalšího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II.4 Pedagogičtí pracovníci a lektoři dalšího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II.5 Poskytovatelé dalšího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II.6 Kapacity pro uznávání výsledků dalšího vzdělávání</w:t>
      </w:r>
    </w:p>
    <w:p w:rsidR="00C43089" w:rsidRPr="00025B12" w:rsidRDefault="00C43089" w:rsidP="00C43089">
      <w:pPr>
        <w:jc w:val="both"/>
        <w:rPr>
          <w:rFonts w:ascii="Verdana" w:hAnsi="Verdana"/>
          <w:sz w:val="20"/>
          <w:szCs w:val="20"/>
        </w:rPr>
      </w:pPr>
    </w:p>
    <w:p w:rsidR="00C43089" w:rsidRPr="00025B12" w:rsidRDefault="00822069" w:rsidP="000C6631">
      <w:pPr>
        <w:jc w:val="both"/>
        <w:outlineLvl w:val="0"/>
        <w:rPr>
          <w:rFonts w:ascii="Verdana" w:hAnsi="Verdana"/>
          <w:b/>
          <w:sz w:val="24"/>
          <w:szCs w:val="24"/>
        </w:rPr>
      </w:pPr>
      <w:bookmarkStart w:id="65" w:name="_Toc289351179"/>
      <w:bookmarkStart w:id="66" w:name="_Toc289351261"/>
      <w:r w:rsidRPr="00025B12">
        <w:rPr>
          <w:rFonts w:ascii="Verdana" w:hAnsi="Verdana"/>
          <w:b/>
          <w:sz w:val="24"/>
          <w:szCs w:val="24"/>
        </w:rPr>
        <w:br w:type="page"/>
      </w:r>
      <w:r w:rsidR="00C43089" w:rsidRPr="00025B12">
        <w:rPr>
          <w:rFonts w:ascii="Verdana" w:hAnsi="Verdana"/>
          <w:b/>
          <w:sz w:val="24"/>
          <w:szCs w:val="24"/>
        </w:rPr>
        <w:lastRenderedPageBreak/>
        <w:t>II.1 Výdaje jednotlivců na další vzdělávání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1694"/>
        <w:gridCol w:w="2330"/>
        <w:gridCol w:w="2157"/>
        <w:gridCol w:w="1643"/>
      </w:tblGrid>
      <w:tr w:rsidR="00772BC5" w:rsidRPr="00025B12" w:rsidTr="00D131AA">
        <w:trPr>
          <w:trHeight w:val="425"/>
        </w:trPr>
        <w:tc>
          <w:tcPr>
            <w:tcW w:w="1464" w:type="dxa"/>
            <w:tcBorders>
              <w:bottom w:val="single" w:sz="4" w:space="0" w:color="auto"/>
              <w:right w:val="single" w:sz="4" w:space="0" w:color="auto"/>
            </w:tcBorders>
            <w:shd w:val="clear" w:color="auto" w:fill="663399"/>
            <w:vAlign w:val="center"/>
          </w:tcPr>
          <w:p w:rsidR="00772BC5" w:rsidRPr="00025B12" w:rsidRDefault="00772BC5" w:rsidP="00D131AA">
            <w:pPr>
              <w:pStyle w:val="Kd"/>
              <w:rPr>
                <w:sz w:val="18"/>
                <w:szCs w:val="18"/>
              </w:rPr>
            </w:pPr>
            <w:r w:rsidRPr="00025B12">
              <w:rPr>
                <w:sz w:val="18"/>
                <w:szCs w:val="18"/>
              </w:rPr>
              <w:br w:type="page"/>
            </w:r>
            <w:r w:rsidRPr="00025B12">
              <w:rPr>
                <w:sz w:val="18"/>
                <w:szCs w:val="18"/>
              </w:rPr>
              <w:br w:type="page"/>
            </w:r>
            <w:bookmarkStart w:id="67" w:name="II12"/>
            <w:r w:rsidRPr="00025B12">
              <w:rPr>
                <w:sz w:val="18"/>
                <w:szCs w:val="18"/>
              </w:rPr>
              <w:t>II.1.</w:t>
            </w:r>
            <w:bookmarkEnd w:id="67"/>
            <w:r w:rsidRPr="00025B12">
              <w:rPr>
                <w:sz w:val="18"/>
                <w:szCs w:val="18"/>
              </w:rPr>
              <w:t>1</w:t>
            </w:r>
          </w:p>
        </w:tc>
        <w:tc>
          <w:tcPr>
            <w:tcW w:w="7824" w:type="dxa"/>
            <w:gridSpan w:val="4"/>
            <w:vMerge w:val="restart"/>
            <w:tcBorders>
              <w:top w:val="single" w:sz="4" w:space="0" w:color="auto"/>
              <w:left w:val="single" w:sz="4" w:space="0" w:color="auto"/>
              <w:right w:val="single" w:sz="4" w:space="0" w:color="auto"/>
            </w:tcBorders>
            <w:shd w:val="clear" w:color="auto" w:fill="663399"/>
            <w:vAlign w:val="center"/>
          </w:tcPr>
          <w:p w:rsidR="00772BC5" w:rsidRPr="00025B12" w:rsidRDefault="00772BC5"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Podíl účastníků, kteří si sami hradí náklady na další neformální vzdělávání</w:t>
            </w:r>
          </w:p>
        </w:tc>
      </w:tr>
      <w:tr w:rsidR="00772BC5" w:rsidRPr="00025B12" w:rsidTr="00D131AA">
        <w:trPr>
          <w:trHeight w:val="360"/>
        </w:trPr>
        <w:tc>
          <w:tcPr>
            <w:tcW w:w="1464" w:type="dxa"/>
            <w:tcBorders>
              <w:top w:val="single" w:sz="4" w:space="0" w:color="auto"/>
              <w:bottom w:val="single" w:sz="4" w:space="0" w:color="auto"/>
              <w:right w:val="single" w:sz="4" w:space="0" w:color="auto"/>
            </w:tcBorders>
            <w:shd w:val="clear" w:color="auto" w:fill="663399"/>
            <w:vAlign w:val="center"/>
          </w:tcPr>
          <w:p w:rsidR="00772BC5" w:rsidRPr="00025B12" w:rsidRDefault="008B716F"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24" w:type="dxa"/>
            <w:gridSpan w:val="4"/>
            <w:vMerge/>
            <w:tcBorders>
              <w:left w:val="single" w:sz="4" w:space="0" w:color="auto"/>
              <w:bottom w:val="single" w:sz="4" w:space="0" w:color="auto"/>
              <w:right w:val="single" w:sz="4" w:space="0" w:color="auto"/>
            </w:tcBorders>
            <w:vAlign w:val="center"/>
          </w:tcPr>
          <w:p w:rsidR="00772BC5" w:rsidRPr="00025B12" w:rsidRDefault="00772BC5" w:rsidP="00D131AA">
            <w:pPr>
              <w:spacing w:after="0" w:line="240" w:lineRule="auto"/>
              <w:jc w:val="center"/>
              <w:rPr>
                <w:rFonts w:ascii="Verdana" w:eastAsiaTheme="minorHAnsi" w:hAnsi="Verdana" w:cstheme="minorBidi"/>
                <w:sz w:val="18"/>
                <w:szCs w:val="18"/>
              </w:rPr>
            </w:pPr>
          </w:p>
        </w:tc>
      </w:tr>
      <w:tr w:rsidR="00772BC5" w:rsidRPr="00025B12" w:rsidTr="00296FE3">
        <w:trPr>
          <w:trHeight w:val="360"/>
        </w:trPr>
        <w:tc>
          <w:tcPr>
            <w:tcW w:w="1464" w:type="dxa"/>
            <w:tcBorders>
              <w:top w:val="single" w:sz="4" w:space="0" w:color="auto"/>
              <w:bottom w:val="dotted" w:sz="4" w:space="0" w:color="auto"/>
              <w:right w:val="dotted" w:sz="4" w:space="0" w:color="auto"/>
            </w:tcBorders>
          </w:tcPr>
          <w:p w:rsidR="00772BC5" w:rsidRPr="00025B12" w:rsidRDefault="00772BC5" w:rsidP="00D131AA">
            <w:pPr>
              <w:spacing w:after="0" w:line="240" w:lineRule="auto"/>
              <w:jc w:val="center"/>
              <w:rPr>
                <w:rFonts w:ascii="Verdana" w:eastAsiaTheme="minorHAnsi" w:hAnsi="Verdana" w:cstheme="minorBidi"/>
                <w:sz w:val="18"/>
                <w:szCs w:val="18"/>
              </w:rPr>
            </w:pPr>
          </w:p>
        </w:tc>
        <w:tc>
          <w:tcPr>
            <w:tcW w:w="1694" w:type="dxa"/>
            <w:tcBorders>
              <w:top w:val="single" w:sz="4" w:space="0" w:color="auto"/>
              <w:left w:val="dotted" w:sz="4" w:space="0" w:color="auto"/>
              <w:bottom w:val="dotted" w:sz="4" w:space="0" w:color="auto"/>
              <w:right w:val="dotted" w:sz="4" w:space="0" w:color="auto"/>
            </w:tcBorders>
            <w:vAlign w:val="center"/>
          </w:tcPr>
          <w:p w:rsidR="00772BC5" w:rsidRPr="00025B12" w:rsidRDefault="00772BC5"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30" w:type="dxa"/>
            <w:tcBorders>
              <w:top w:val="single" w:sz="4" w:space="0" w:color="auto"/>
              <w:left w:val="dotted" w:sz="4" w:space="0" w:color="auto"/>
              <w:bottom w:val="dotted" w:sz="4" w:space="0" w:color="auto"/>
              <w:right w:val="dotted" w:sz="4" w:space="0" w:color="auto"/>
            </w:tcBorders>
            <w:vAlign w:val="center"/>
          </w:tcPr>
          <w:p w:rsidR="00772BC5" w:rsidRPr="00025B12" w:rsidRDefault="00772BC5"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7" w:type="dxa"/>
            <w:tcBorders>
              <w:top w:val="single" w:sz="4" w:space="0" w:color="auto"/>
              <w:left w:val="dotted" w:sz="4" w:space="0" w:color="auto"/>
              <w:bottom w:val="dotted" w:sz="4" w:space="0" w:color="auto"/>
              <w:right w:val="dotted" w:sz="4" w:space="0" w:color="auto"/>
            </w:tcBorders>
            <w:vAlign w:val="center"/>
          </w:tcPr>
          <w:p w:rsidR="00772BC5" w:rsidRPr="00025B12" w:rsidRDefault="00772BC5"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43" w:type="dxa"/>
            <w:tcBorders>
              <w:top w:val="single" w:sz="4" w:space="0" w:color="auto"/>
              <w:left w:val="dotted" w:sz="4" w:space="0" w:color="auto"/>
              <w:bottom w:val="dotted" w:sz="4" w:space="0" w:color="auto"/>
            </w:tcBorders>
            <w:vAlign w:val="center"/>
          </w:tcPr>
          <w:p w:rsidR="00772BC5" w:rsidRPr="00025B12" w:rsidRDefault="00772BC5"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772BC5" w:rsidRPr="00025B12" w:rsidTr="00D131AA">
        <w:trPr>
          <w:trHeight w:val="360"/>
        </w:trPr>
        <w:tc>
          <w:tcPr>
            <w:tcW w:w="1464" w:type="dxa"/>
            <w:tcBorders>
              <w:top w:val="dotted" w:sz="4" w:space="0" w:color="auto"/>
              <w:bottom w:val="dotted" w:sz="4" w:space="0" w:color="auto"/>
              <w:right w:val="dotted" w:sz="4" w:space="0" w:color="auto"/>
            </w:tcBorders>
          </w:tcPr>
          <w:p w:rsidR="00772BC5" w:rsidRPr="00025B12" w:rsidRDefault="00772BC5"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94" w:type="dxa"/>
            <w:tcBorders>
              <w:top w:val="dotted" w:sz="4" w:space="0" w:color="auto"/>
              <w:left w:val="dotted" w:sz="4" w:space="0" w:color="auto"/>
              <w:bottom w:val="dotted" w:sz="4" w:space="0" w:color="auto"/>
              <w:right w:val="dotted" w:sz="4" w:space="0" w:color="auto"/>
            </w:tcBorders>
            <w:vAlign w:val="center"/>
          </w:tcPr>
          <w:p w:rsidR="00772BC5" w:rsidRPr="00025B12" w:rsidRDefault="00665F1D" w:rsidP="00D131AA">
            <w:pPr>
              <w:spacing w:after="0" w:line="240" w:lineRule="auto"/>
              <w:jc w:val="center"/>
              <w:rPr>
                <w:rFonts w:ascii="Verdana" w:eastAsiaTheme="minorHAnsi" w:hAnsi="Verdana" w:cstheme="minorBidi"/>
                <w:sz w:val="18"/>
                <w:szCs w:val="18"/>
              </w:rPr>
            </w:pPr>
            <w:hyperlink w:anchor="AES" w:history="1">
              <w:r w:rsidR="00772BC5" w:rsidRPr="00025B12">
                <w:rPr>
                  <w:rStyle w:val="Hypertextovodkaz"/>
                  <w:rFonts w:ascii="Verdana" w:eastAsiaTheme="minorHAnsi" w:hAnsi="Verdana" w:cstheme="minorBidi"/>
                  <w:sz w:val="18"/>
                  <w:szCs w:val="18"/>
                </w:rPr>
                <w:t>AES</w:t>
              </w:r>
            </w:hyperlink>
          </w:p>
        </w:tc>
        <w:tc>
          <w:tcPr>
            <w:tcW w:w="2330" w:type="dxa"/>
            <w:tcBorders>
              <w:top w:val="dotted" w:sz="4" w:space="0" w:color="auto"/>
              <w:left w:val="dotted" w:sz="4" w:space="0" w:color="auto"/>
              <w:bottom w:val="dotted" w:sz="4" w:space="0" w:color="auto"/>
              <w:right w:val="dotted" w:sz="4" w:space="0" w:color="auto"/>
            </w:tcBorders>
            <w:vAlign w:val="center"/>
          </w:tcPr>
          <w:p w:rsidR="00772BC5" w:rsidRPr="00025B12" w:rsidRDefault="00772BC5"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57" w:type="dxa"/>
            <w:tcBorders>
              <w:top w:val="dotted" w:sz="4" w:space="0" w:color="auto"/>
              <w:left w:val="dotted" w:sz="4" w:space="0" w:color="auto"/>
              <w:bottom w:val="dotted" w:sz="4" w:space="0" w:color="auto"/>
              <w:right w:val="dotted" w:sz="4" w:space="0" w:color="auto"/>
            </w:tcBorders>
            <w:vAlign w:val="center"/>
          </w:tcPr>
          <w:p w:rsidR="00772BC5" w:rsidRPr="00025B12" w:rsidRDefault="00772BC5"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643" w:type="dxa"/>
            <w:tcBorders>
              <w:top w:val="dotted" w:sz="4" w:space="0" w:color="auto"/>
              <w:left w:val="dotted" w:sz="4" w:space="0" w:color="auto"/>
              <w:bottom w:val="dotted" w:sz="4" w:space="0" w:color="auto"/>
            </w:tcBorders>
            <w:vAlign w:val="center"/>
          </w:tcPr>
          <w:p w:rsidR="00772BC5" w:rsidRPr="00025B12" w:rsidRDefault="00772BC5"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772BC5" w:rsidRPr="00025B12" w:rsidTr="00D131AA">
        <w:trPr>
          <w:trHeight w:val="360"/>
        </w:trPr>
        <w:tc>
          <w:tcPr>
            <w:tcW w:w="1464" w:type="dxa"/>
            <w:tcBorders>
              <w:top w:val="dotted" w:sz="4" w:space="0" w:color="auto"/>
              <w:bottom w:val="dotted" w:sz="4" w:space="0" w:color="auto"/>
              <w:right w:val="dotted" w:sz="4" w:space="0" w:color="auto"/>
            </w:tcBorders>
          </w:tcPr>
          <w:p w:rsidR="00772BC5" w:rsidRPr="00025B12" w:rsidRDefault="00772BC5"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94" w:type="dxa"/>
            <w:tcBorders>
              <w:top w:val="dotted" w:sz="4" w:space="0" w:color="auto"/>
              <w:left w:val="dotted" w:sz="4" w:space="0" w:color="auto"/>
              <w:bottom w:val="dotted" w:sz="4" w:space="0" w:color="auto"/>
              <w:right w:val="dotted" w:sz="4" w:space="0" w:color="auto"/>
            </w:tcBorders>
            <w:vAlign w:val="center"/>
          </w:tcPr>
          <w:p w:rsidR="00772BC5" w:rsidRPr="00025B12" w:rsidRDefault="00665F1D" w:rsidP="00D131AA">
            <w:pPr>
              <w:spacing w:after="0" w:line="240" w:lineRule="auto"/>
              <w:jc w:val="center"/>
              <w:rPr>
                <w:rFonts w:ascii="Verdana" w:eastAsiaTheme="minorHAnsi" w:hAnsi="Verdana" w:cstheme="minorBidi"/>
                <w:sz w:val="18"/>
                <w:szCs w:val="18"/>
              </w:rPr>
            </w:pPr>
            <w:hyperlink w:anchor="AES" w:history="1">
              <w:r w:rsidR="00772BC5" w:rsidRPr="00025B12">
                <w:rPr>
                  <w:rStyle w:val="Hypertextovodkaz"/>
                  <w:rFonts w:ascii="Verdana" w:eastAsiaTheme="minorHAnsi" w:hAnsi="Verdana" w:cstheme="minorBidi"/>
                  <w:sz w:val="18"/>
                  <w:szCs w:val="18"/>
                </w:rPr>
                <w:t>AES</w:t>
              </w:r>
            </w:hyperlink>
          </w:p>
        </w:tc>
        <w:tc>
          <w:tcPr>
            <w:tcW w:w="2330" w:type="dxa"/>
            <w:tcBorders>
              <w:top w:val="dotted" w:sz="4" w:space="0" w:color="auto"/>
              <w:left w:val="dotted" w:sz="4" w:space="0" w:color="auto"/>
              <w:bottom w:val="dotted" w:sz="4" w:space="0" w:color="auto"/>
              <w:right w:val="dotted" w:sz="4" w:space="0" w:color="auto"/>
            </w:tcBorders>
            <w:vAlign w:val="center"/>
          </w:tcPr>
          <w:p w:rsidR="00772BC5" w:rsidRPr="00025B12" w:rsidRDefault="00772BC5"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7" w:type="dxa"/>
            <w:tcBorders>
              <w:top w:val="dotted" w:sz="4" w:space="0" w:color="auto"/>
              <w:left w:val="dotted" w:sz="4" w:space="0" w:color="auto"/>
              <w:bottom w:val="dotted" w:sz="4" w:space="0" w:color="auto"/>
              <w:right w:val="dotted" w:sz="4" w:space="0" w:color="auto"/>
            </w:tcBorders>
            <w:vAlign w:val="center"/>
          </w:tcPr>
          <w:p w:rsidR="00772BC5" w:rsidRPr="00025B12" w:rsidRDefault="00772BC5"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643" w:type="dxa"/>
            <w:tcBorders>
              <w:top w:val="dotted" w:sz="4" w:space="0" w:color="auto"/>
              <w:left w:val="dotted" w:sz="4" w:space="0" w:color="auto"/>
              <w:bottom w:val="dotted" w:sz="4" w:space="0" w:color="auto"/>
            </w:tcBorders>
            <w:vAlign w:val="center"/>
          </w:tcPr>
          <w:p w:rsidR="00772BC5" w:rsidRPr="00025B12" w:rsidRDefault="00772BC5"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772BC5" w:rsidRPr="00025B12" w:rsidTr="00D131AA">
        <w:trPr>
          <w:trHeight w:val="360"/>
        </w:trPr>
        <w:tc>
          <w:tcPr>
            <w:tcW w:w="1464" w:type="dxa"/>
            <w:tcBorders>
              <w:top w:val="dotted" w:sz="4" w:space="0" w:color="auto"/>
              <w:right w:val="dotted" w:sz="4" w:space="0" w:color="auto"/>
            </w:tcBorders>
          </w:tcPr>
          <w:p w:rsidR="00772BC5" w:rsidRPr="00025B12" w:rsidRDefault="00772BC5"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94" w:type="dxa"/>
            <w:tcBorders>
              <w:top w:val="dotted" w:sz="4" w:space="0" w:color="auto"/>
              <w:left w:val="dotted" w:sz="4" w:space="0" w:color="auto"/>
              <w:right w:val="dotted" w:sz="4" w:space="0" w:color="auto"/>
            </w:tcBorders>
            <w:vAlign w:val="center"/>
          </w:tcPr>
          <w:p w:rsidR="00772BC5" w:rsidRPr="00025B12" w:rsidRDefault="00665F1D" w:rsidP="00D131AA">
            <w:pPr>
              <w:spacing w:after="0" w:line="240" w:lineRule="auto"/>
              <w:jc w:val="center"/>
              <w:rPr>
                <w:rFonts w:ascii="Verdana" w:eastAsiaTheme="minorHAnsi" w:hAnsi="Verdana" w:cstheme="minorBidi"/>
                <w:sz w:val="18"/>
                <w:szCs w:val="18"/>
              </w:rPr>
            </w:pPr>
            <w:hyperlink w:anchor="AES" w:history="1">
              <w:r w:rsidR="00772BC5" w:rsidRPr="00025B12">
                <w:rPr>
                  <w:rStyle w:val="Hypertextovodkaz"/>
                  <w:rFonts w:ascii="Verdana" w:eastAsiaTheme="minorHAnsi" w:hAnsi="Verdana" w:cstheme="minorBidi"/>
                  <w:sz w:val="18"/>
                  <w:szCs w:val="18"/>
                </w:rPr>
                <w:t>AES</w:t>
              </w:r>
            </w:hyperlink>
          </w:p>
        </w:tc>
        <w:tc>
          <w:tcPr>
            <w:tcW w:w="2330" w:type="dxa"/>
            <w:tcBorders>
              <w:top w:val="dotted" w:sz="4" w:space="0" w:color="auto"/>
              <w:left w:val="dotted" w:sz="4" w:space="0" w:color="auto"/>
              <w:right w:val="dotted" w:sz="4" w:space="0" w:color="auto"/>
            </w:tcBorders>
            <w:vAlign w:val="center"/>
          </w:tcPr>
          <w:p w:rsidR="00772BC5" w:rsidRPr="00025B12" w:rsidRDefault="00772BC5"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7" w:type="dxa"/>
            <w:tcBorders>
              <w:top w:val="dotted" w:sz="4" w:space="0" w:color="auto"/>
              <w:left w:val="dotted" w:sz="4" w:space="0" w:color="auto"/>
              <w:right w:val="dotted" w:sz="4" w:space="0" w:color="auto"/>
            </w:tcBorders>
            <w:vAlign w:val="center"/>
          </w:tcPr>
          <w:p w:rsidR="00772BC5" w:rsidRPr="00025B12" w:rsidRDefault="00772BC5"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643" w:type="dxa"/>
            <w:tcBorders>
              <w:top w:val="dotted" w:sz="4" w:space="0" w:color="auto"/>
              <w:left w:val="dotted" w:sz="4" w:space="0" w:color="auto"/>
            </w:tcBorders>
            <w:vAlign w:val="center"/>
          </w:tcPr>
          <w:p w:rsidR="00772BC5" w:rsidRPr="00025B12" w:rsidRDefault="00772BC5"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772BC5" w:rsidRPr="00025B12" w:rsidTr="00D131AA">
        <w:trPr>
          <w:trHeight w:val="274"/>
        </w:trPr>
        <w:tc>
          <w:tcPr>
            <w:tcW w:w="7645" w:type="dxa"/>
            <w:gridSpan w:val="4"/>
            <w:shd w:val="clear" w:color="auto" w:fill="663399"/>
          </w:tcPr>
          <w:p w:rsidR="00772BC5" w:rsidRPr="00025B12" w:rsidRDefault="00772BC5" w:rsidP="00D131AA">
            <w:pPr>
              <w:spacing w:after="0" w:line="240" w:lineRule="auto"/>
              <w:jc w:val="center"/>
              <w:rPr>
                <w:rFonts w:ascii="Verdana" w:eastAsiaTheme="minorHAnsi" w:hAnsi="Verdana" w:cstheme="minorBidi"/>
                <w:sz w:val="18"/>
                <w:szCs w:val="18"/>
              </w:rPr>
            </w:pPr>
          </w:p>
        </w:tc>
        <w:tc>
          <w:tcPr>
            <w:tcW w:w="1643" w:type="dxa"/>
            <w:shd w:val="clear" w:color="auto" w:fill="663399"/>
          </w:tcPr>
          <w:p w:rsidR="00772BC5" w:rsidRPr="00025B12" w:rsidRDefault="00772BC5" w:rsidP="00D131AA">
            <w:pPr>
              <w:spacing w:after="0" w:line="240" w:lineRule="auto"/>
              <w:jc w:val="center"/>
              <w:rPr>
                <w:rFonts w:ascii="Verdana" w:eastAsiaTheme="minorHAnsi" w:hAnsi="Verdana" w:cstheme="minorBidi"/>
                <w:sz w:val="18"/>
                <w:szCs w:val="18"/>
              </w:rPr>
            </w:pPr>
          </w:p>
        </w:tc>
      </w:tr>
      <w:tr w:rsidR="00772BC5" w:rsidRPr="00025B12" w:rsidTr="00D131AA">
        <w:trPr>
          <w:trHeight w:val="1746"/>
        </w:trPr>
        <w:tc>
          <w:tcPr>
            <w:tcW w:w="9288" w:type="dxa"/>
            <w:gridSpan w:val="5"/>
          </w:tcPr>
          <w:p w:rsidR="00772BC5" w:rsidRPr="00025B12" w:rsidRDefault="00772BC5"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772BC5" w:rsidRPr="00025B12" w:rsidRDefault="00772BC5" w:rsidP="00D131AA">
            <w:pPr>
              <w:jc w:val="both"/>
              <w:rPr>
                <w:rFonts w:ascii="Verdana" w:hAnsi="Verdana"/>
                <w:sz w:val="18"/>
                <w:szCs w:val="18"/>
              </w:rPr>
            </w:pPr>
            <w:r w:rsidRPr="00025B12">
              <w:rPr>
                <w:rFonts w:ascii="Verdana" w:hAnsi="Verdana"/>
                <w:sz w:val="18"/>
                <w:szCs w:val="18"/>
              </w:rPr>
              <w:t xml:space="preserve">Skutečnost, že jednotlivec vynakládá vlastní prostředky na další vzdělávání, svědčí o tom, že své vzdělávání vnímá jako osobní investici. Podíl těchto lidí na celkovém počtu účastníků dalšího vzdělávání naznačuje, do jaké míry je tento názor ve společnosti rozšířen, zároveň však odráží i obecné způsoby financování dalšího vzdělávání. Zatímco částečné hrazení nákladů na další vzdělávání svědčí zejména o ochotě lidí investovat do svého vzdělávání, vysoká míra lidí, kteří si náklad hradí v plné výši, naopak svědčí o nízké míře existující finanční podpory z jiných zdrojů. Indikátor je třeba interpretovat ve spojitosti s indikátorem účasti na dalším vzdělávání. Pokud je míra účasti na dalším vzdělávání nízká a zároveň si většina účastníků hradí další vzdělávání sama, pak je zjevné, že finanční důvody mohou tvořit překážku v účasti na dalším vzdělávání. </w:t>
            </w:r>
          </w:p>
        </w:tc>
      </w:tr>
      <w:tr w:rsidR="00772BC5" w:rsidRPr="00025B12" w:rsidTr="00D131AA">
        <w:trPr>
          <w:trHeight w:val="1485"/>
        </w:trPr>
        <w:tc>
          <w:tcPr>
            <w:tcW w:w="9288" w:type="dxa"/>
            <w:gridSpan w:val="5"/>
          </w:tcPr>
          <w:p w:rsidR="00772BC5" w:rsidRPr="00025B12" w:rsidRDefault="00772BC5"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772BC5" w:rsidRPr="00025B12" w:rsidRDefault="00772BC5" w:rsidP="00D131AA">
            <w:pPr>
              <w:jc w:val="both"/>
              <w:rPr>
                <w:rFonts w:ascii="Verdana" w:hAnsi="Verdana"/>
                <w:sz w:val="18"/>
                <w:szCs w:val="18"/>
              </w:rPr>
            </w:pPr>
            <w:r w:rsidRPr="00025B12">
              <w:rPr>
                <w:rFonts w:ascii="Verdana" w:hAnsi="Verdana"/>
                <w:sz w:val="18"/>
                <w:szCs w:val="18"/>
              </w:rPr>
              <w:t>Indikátor se vztahuje k neformálnímu vzdělávání populace ve věku 25-64 let. Indikátor je vypočten jako podíl lidí, kteří si úplně nebo částečně hradili náklady na další vzdělávání, na všech účastnících dalšího vzdělávání. Údaje se vztahují ke vzdělávání v posledních 12 měsících.</w:t>
            </w:r>
          </w:p>
        </w:tc>
      </w:tr>
      <w:tr w:rsidR="00772BC5" w:rsidRPr="00025B12" w:rsidTr="00D131AA">
        <w:trPr>
          <w:trHeight w:val="1392"/>
        </w:trPr>
        <w:tc>
          <w:tcPr>
            <w:tcW w:w="9288" w:type="dxa"/>
            <w:gridSpan w:val="5"/>
          </w:tcPr>
          <w:p w:rsidR="00772BC5" w:rsidRPr="00025B12" w:rsidRDefault="00772BC5"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772BC5" w:rsidRPr="00025B12" w:rsidRDefault="00772BC5" w:rsidP="00D131AA">
            <w:pPr>
              <w:jc w:val="both"/>
              <w:rPr>
                <w:rFonts w:ascii="Verdana" w:hAnsi="Verdana"/>
                <w:sz w:val="18"/>
                <w:szCs w:val="18"/>
              </w:rPr>
            </w:pPr>
            <w:r w:rsidRPr="00025B12">
              <w:rPr>
                <w:rFonts w:ascii="Verdana" w:hAnsi="Verdana"/>
                <w:sz w:val="18"/>
                <w:szCs w:val="18"/>
              </w:rPr>
              <w:t>Otázka pro výpočet indikátoru je v dotazníku AES obsažena, konkrétně výsledky této otázky však nejsou publikovány na národní ani na mezinárodní úrovni. Pro výpočet indikátoru by bylo nutné získat přístup k mikrodatům.</w:t>
            </w:r>
          </w:p>
        </w:tc>
      </w:tr>
      <w:tr w:rsidR="00772BC5" w:rsidRPr="00025B12" w:rsidTr="00D131AA">
        <w:trPr>
          <w:trHeight w:val="837"/>
        </w:trPr>
        <w:tc>
          <w:tcPr>
            <w:tcW w:w="9288" w:type="dxa"/>
            <w:gridSpan w:val="5"/>
          </w:tcPr>
          <w:p w:rsidR="00772BC5" w:rsidRPr="00025B12" w:rsidRDefault="00772BC5"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772BC5" w:rsidRPr="00025B12" w:rsidRDefault="00772BC5" w:rsidP="00D131AA">
            <w:pPr>
              <w:jc w:val="both"/>
              <w:rPr>
                <w:rFonts w:ascii="Verdana" w:hAnsi="Verdana"/>
                <w:sz w:val="18"/>
                <w:szCs w:val="18"/>
              </w:rPr>
            </w:pPr>
            <w:r w:rsidRPr="00025B12">
              <w:rPr>
                <w:rFonts w:ascii="Verdana" w:hAnsi="Verdana"/>
                <w:sz w:val="18"/>
                <w:szCs w:val="18"/>
              </w:rPr>
              <w:t>Spolehlivost regionálního třídění bude třeba ověřit na výsledcích z mikrodatového souboru.</w:t>
            </w:r>
          </w:p>
        </w:tc>
      </w:tr>
    </w:tbl>
    <w:p w:rsidR="00772BC5" w:rsidRPr="00025B12" w:rsidRDefault="00772BC5" w:rsidP="000C6631">
      <w:pPr>
        <w:jc w:val="both"/>
        <w:outlineLvl w:val="0"/>
        <w:rPr>
          <w:rFonts w:ascii="Verdana" w:hAnsi="Verdana"/>
          <w:b/>
          <w:sz w:val="24"/>
          <w:szCs w:val="24"/>
        </w:rPr>
      </w:pPr>
    </w:p>
    <w:p w:rsidR="00822069" w:rsidRPr="00025B12" w:rsidRDefault="00772BC5" w:rsidP="00822069">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1694"/>
        <w:gridCol w:w="2330"/>
        <w:gridCol w:w="2157"/>
        <w:gridCol w:w="1643"/>
      </w:tblGrid>
      <w:tr w:rsidR="00822069" w:rsidRPr="00025B12" w:rsidTr="00053437">
        <w:trPr>
          <w:trHeight w:val="425"/>
        </w:trPr>
        <w:tc>
          <w:tcPr>
            <w:tcW w:w="1464" w:type="dxa"/>
            <w:tcBorders>
              <w:bottom w:val="single" w:sz="4" w:space="0" w:color="auto"/>
              <w:right w:val="single" w:sz="4" w:space="0" w:color="auto"/>
            </w:tcBorders>
            <w:shd w:val="clear" w:color="auto" w:fill="663399"/>
            <w:vAlign w:val="center"/>
          </w:tcPr>
          <w:p w:rsidR="00822069" w:rsidRPr="00025B12" w:rsidRDefault="00822069" w:rsidP="00A9209D">
            <w:pPr>
              <w:pStyle w:val="Kd"/>
              <w:rPr>
                <w:sz w:val="18"/>
                <w:szCs w:val="18"/>
              </w:rPr>
            </w:pPr>
            <w:r w:rsidRPr="00025B12">
              <w:rPr>
                <w:sz w:val="18"/>
                <w:szCs w:val="18"/>
              </w:rPr>
              <w:br w:type="page"/>
            </w:r>
            <w:r w:rsidRPr="00025B12">
              <w:rPr>
                <w:sz w:val="18"/>
                <w:szCs w:val="18"/>
              </w:rPr>
              <w:br w:type="page"/>
            </w:r>
            <w:bookmarkStart w:id="68" w:name="II11"/>
            <w:r w:rsidRPr="00025B12">
              <w:rPr>
                <w:sz w:val="18"/>
                <w:szCs w:val="18"/>
              </w:rPr>
              <w:t>II.1.</w:t>
            </w:r>
            <w:r w:rsidR="008D36D8" w:rsidRPr="00025B12">
              <w:rPr>
                <w:sz w:val="18"/>
                <w:szCs w:val="18"/>
              </w:rPr>
              <w:t>d</w:t>
            </w:r>
            <w:r w:rsidRPr="00025B12">
              <w:rPr>
                <w:sz w:val="18"/>
                <w:szCs w:val="18"/>
              </w:rPr>
              <w:t>1</w:t>
            </w:r>
            <w:bookmarkEnd w:id="68"/>
          </w:p>
        </w:tc>
        <w:tc>
          <w:tcPr>
            <w:tcW w:w="7824" w:type="dxa"/>
            <w:gridSpan w:val="4"/>
            <w:vMerge w:val="restart"/>
            <w:tcBorders>
              <w:top w:val="single" w:sz="4" w:space="0" w:color="auto"/>
              <w:left w:val="single" w:sz="4" w:space="0" w:color="auto"/>
              <w:right w:val="single" w:sz="4" w:space="0" w:color="auto"/>
            </w:tcBorders>
            <w:shd w:val="clear" w:color="auto" w:fill="663399"/>
            <w:vAlign w:val="center"/>
          </w:tcPr>
          <w:p w:rsidR="00822069" w:rsidRPr="00025B12" w:rsidRDefault="00560BD6" w:rsidP="00FE218C">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 xml:space="preserve">Podíl </w:t>
            </w:r>
            <w:r w:rsidR="00FE218C" w:rsidRPr="00025B12">
              <w:rPr>
                <w:rFonts w:ascii="Verdana" w:eastAsiaTheme="minorHAnsi" w:hAnsi="Verdana" w:cstheme="minorBidi"/>
                <w:b/>
                <w:color w:val="FFFFFF" w:themeColor="background1"/>
              </w:rPr>
              <w:t xml:space="preserve">dospělých </w:t>
            </w:r>
            <w:r w:rsidRPr="00025B12">
              <w:rPr>
                <w:rFonts w:ascii="Verdana" w:eastAsiaTheme="minorHAnsi" w:hAnsi="Verdana" w:cstheme="minorBidi"/>
                <w:b/>
                <w:color w:val="FFFFFF" w:themeColor="background1"/>
              </w:rPr>
              <w:t>účastníků</w:t>
            </w:r>
            <w:r w:rsidR="00822069" w:rsidRPr="00025B12">
              <w:rPr>
                <w:rFonts w:ascii="Verdana" w:eastAsiaTheme="minorHAnsi" w:hAnsi="Verdana" w:cstheme="minorBidi"/>
                <w:b/>
                <w:color w:val="FFFFFF" w:themeColor="background1"/>
              </w:rPr>
              <w:t>, kteří si sami hradí náklady na formální vzdělávání</w:t>
            </w:r>
          </w:p>
        </w:tc>
      </w:tr>
      <w:tr w:rsidR="00822069" w:rsidRPr="00025B12" w:rsidTr="00053437">
        <w:trPr>
          <w:trHeight w:val="360"/>
        </w:trPr>
        <w:tc>
          <w:tcPr>
            <w:tcW w:w="1464" w:type="dxa"/>
            <w:tcBorders>
              <w:top w:val="single" w:sz="4" w:space="0" w:color="auto"/>
              <w:bottom w:val="single" w:sz="4" w:space="0" w:color="auto"/>
              <w:right w:val="single" w:sz="4" w:space="0" w:color="auto"/>
            </w:tcBorders>
            <w:shd w:val="clear" w:color="auto" w:fill="663399"/>
            <w:vAlign w:val="center"/>
          </w:tcPr>
          <w:p w:rsidR="00822069" w:rsidRPr="00025B12" w:rsidRDefault="00DD020F"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24" w:type="dxa"/>
            <w:gridSpan w:val="4"/>
            <w:vMerge/>
            <w:tcBorders>
              <w:left w:val="single" w:sz="4" w:space="0" w:color="auto"/>
              <w:bottom w:val="single" w:sz="4" w:space="0" w:color="auto"/>
              <w:right w:val="single"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p>
        </w:tc>
      </w:tr>
      <w:tr w:rsidR="00822069" w:rsidRPr="00025B12" w:rsidTr="00296FE3">
        <w:trPr>
          <w:trHeight w:val="360"/>
        </w:trPr>
        <w:tc>
          <w:tcPr>
            <w:tcW w:w="1464" w:type="dxa"/>
            <w:tcBorders>
              <w:top w:val="single" w:sz="4" w:space="0" w:color="auto"/>
              <w:bottom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sz w:val="18"/>
                <w:szCs w:val="18"/>
              </w:rPr>
            </w:pPr>
          </w:p>
        </w:tc>
        <w:tc>
          <w:tcPr>
            <w:tcW w:w="1694"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30"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7"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43" w:type="dxa"/>
            <w:tcBorders>
              <w:top w:val="single" w:sz="4" w:space="0" w:color="auto"/>
              <w:left w:val="dotted" w:sz="4" w:space="0" w:color="auto"/>
              <w:bottom w:val="dotted" w:sz="4" w:space="0" w:color="auto"/>
            </w:tcBorders>
            <w:vAlign w:val="center"/>
          </w:tcPr>
          <w:p w:rsidR="00822069" w:rsidRPr="00025B12" w:rsidRDefault="00822069"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822069" w:rsidRPr="00025B12" w:rsidTr="00053437">
        <w:trPr>
          <w:trHeight w:val="360"/>
        </w:trPr>
        <w:tc>
          <w:tcPr>
            <w:tcW w:w="1464" w:type="dxa"/>
            <w:tcBorders>
              <w:top w:val="dotted" w:sz="4" w:space="0" w:color="auto"/>
              <w:bottom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94" w:type="dxa"/>
            <w:tcBorders>
              <w:top w:val="dotted" w:sz="4" w:space="0" w:color="auto"/>
              <w:left w:val="dotted" w:sz="4" w:space="0" w:color="auto"/>
              <w:bottom w:val="dotted" w:sz="4" w:space="0" w:color="auto"/>
              <w:right w:val="dotted" w:sz="4" w:space="0" w:color="auto"/>
            </w:tcBorders>
            <w:vAlign w:val="center"/>
          </w:tcPr>
          <w:p w:rsidR="00822069" w:rsidRPr="00025B12" w:rsidRDefault="00665F1D" w:rsidP="00A9209D">
            <w:pPr>
              <w:spacing w:after="0" w:line="240" w:lineRule="auto"/>
              <w:jc w:val="center"/>
              <w:rPr>
                <w:rFonts w:ascii="Verdana" w:eastAsiaTheme="minorHAnsi" w:hAnsi="Verdana" w:cstheme="minorBidi"/>
                <w:sz w:val="18"/>
                <w:szCs w:val="18"/>
              </w:rPr>
            </w:pPr>
            <w:hyperlink w:anchor="AES" w:history="1">
              <w:r w:rsidR="00822069" w:rsidRPr="00025B12">
                <w:rPr>
                  <w:rStyle w:val="Hypertextovodkaz"/>
                  <w:rFonts w:ascii="Verdana" w:eastAsiaTheme="minorHAnsi" w:hAnsi="Verdana" w:cstheme="minorBidi"/>
                  <w:sz w:val="18"/>
                  <w:szCs w:val="18"/>
                </w:rPr>
                <w:t>AES</w:t>
              </w:r>
            </w:hyperlink>
          </w:p>
        </w:tc>
        <w:tc>
          <w:tcPr>
            <w:tcW w:w="2330" w:type="dxa"/>
            <w:tcBorders>
              <w:top w:val="dotted"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57" w:type="dxa"/>
            <w:tcBorders>
              <w:top w:val="dotted" w:sz="4" w:space="0" w:color="auto"/>
              <w:left w:val="dotted" w:sz="4" w:space="0" w:color="auto"/>
              <w:bottom w:val="dotted" w:sz="4" w:space="0" w:color="auto"/>
              <w:right w:val="dotted" w:sz="4" w:space="0" w:color="auto"/>
            </w:tcBorders>
            <w:vAlign w:val="center"/>
          </w:tcPr>
          <w:p w:rsidR="00822069" w:rsidRPr="00025B12" w:rsidRDefault="00A04804"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643" w:type="dxa"/>
            <w:tcBorders>
              <w:top w:val="dotted" w:sz="4" w:space="0" w:color="auto"/>
              <w:left w:val="dotted" w:sz="4" w:space="0" w:color="auto"/>
              <w:bottom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053437" w:rsidRPr="00025B12" w:rsidTr="00053437">
        <w:trPr>
          <w:trHeight w:val="360"/>
        </w:trPr>
        <w:tc>
          <w:tcPr>
            <w:tcW w:w="1464" w:type="dxa"/>
            <w:tcBorders>
              <w:top w:val="dotted" w:sz="4" w:space="0" w:color="auto"/>
              <w:bottom w:val="dotted" w:sz="4" w:space="0" w:color="auto"/>
              <w:right w:val="dotted" w:sz="4" w:space="0" w:color="auto"/>
            </w:tcBorders>
          </w:tcPr>
          <w:p w:rsidR="00053437" w:rsidRPr="00025B12" w:rsidRDefault="00053437"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94" w:type="dxa"/>
            <w:tcBorders>
              <w:top w:val="dotted" w:sz="4" w:space="0" w:color="auto"/>
              <w:left w:val="dotted" w:sz="4" w:space="0" w:color="auto"/>
              <w:bottom w:val="dotted" w:sz="4" w:space="0" w:color="auto"/>
              <w:right w:val="dotted" w:sz="4" w:space="0" w:color="auto"/>
            </w:tcBorders>
            <w:vAlign w:val="center"/>
          </w:tcPr>
          <w:p w:rsidR="00053437" w:rsidRPr="00025B12" w:rsidRDefault="00665F1D" w:rsidP="00672756">
            <w:pPr>
              <w:spacing w:after="0" w:line="240" w:lineRule="auto"/>
              <w:jc w:val="center"/>
              <w:rPr>
                <w:rFonts w:ascii="Verdana" w:eastAsiaTheme="minorHAnsi" w:hAnsi="Verdana" w:cstheme="minorBidi"/>
                <w:sz w:val="18"/>
                <w:szCs w:val="18"/>
              </w:rPr>
            </w:pPr>
            <w:hyperlink w:anchor="AES" w:history="1">
              <w:r w:rsidR="00053437" w:rsidRPr="00025B12">
                <w:rPr>
                  <w:rStyle w:val="Hypertextovodkaz"/>
                  <w:rFonts w:ascii="Verdana" w:eastAsiaTheme="minorHAnsi" w:hAnsi="Verdana" w:cstheme="minorBidi"/>
                  <w:sz w:val="18"/>
                  <w:szCs w:val="18"/>
                </w:rPr>
                <w:t>AES</w:t>
              </w:r>
            </w:hyperlink>
          </w:p>
        </w:tc>
        <w:tc>
          <w:tcPr>
            <w:tcW w:w="2330" w:type="dxa"/>
            <w:tcBorders>
              <w:top w:val="dotted" w:sz="4" w:space="0" w:color="auto"/>
              <w:left w:val="dotted" w:sz="4" w:space="0" w:color="auto"/>
              <w:bottom w:val="dotted" w:sz="4" w:space="0" w:color="auto"/>
              <w:right w:val="dotted" w:sz="4" w:space="0" w:color="auto"/>
            </w:tcBorders>
            <w:vAlign w:val="center"/>
          </w:tcPr>
          <w:p w:rsidR="00053437" w:rsidRPr="00025B12" w:rsidRDefault="00053437"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7" w:type="dxa"/>
            <w:tcBorders>
              <w:top w:val="dotted" w:sz="4" w:space="0" w:color="auto"/>
              <w:left w:val="dotted" w:sz="4" w:space="0" w:color="auto"/>
              <w:bottom w:val="dotted" w:sz="4" w:space="0" w:color="auto"/>
              <w:right w:val="dotted" w:sz="4" w:space="0" w:color="auto"/>
            </w:tcBorders>
            <w:vAlign w:val="center"/>
          </w:tcPr>
          <w:p w:rsidR="00053437" w:rsidRPr="00025B12" w:rsidRDefault="00A04804"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643" w:type="dxa"/>
            <w:tcBorders>
              <w:top w:val="dotted" w:sz="4" w:space="0" w:color="auto"/>
              <w:left w:val="dotted" w:sz="4" w:space="0" w:color="auto"/>
              <w:bottom w:val="dotted" w:sz="4" w:space="0" w:color="auto"/>
            </w:tcBorders>
            <w:vAlign w:val="center"/>
          </w:tcPr>
          <w:p w:rsidR="00053437" w:rsidRPr="00025B12" w:rsidRDefault="00053437"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822069" w:rsidRPr="00025B12" w:rsidTr="00053437">
        <w:trPr>
          <w:trHeight w:val="360"/>
        </w:trPr>
        <w:tc>
          <w:tcPr>
            <w:tcW w:w="1464" w:type="dxa"/>
            <w:tcBorders>
              <w:top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94" w:type="dxa"/>
            <w:tcBorders>
              <w:top w:val="dotted" w:sz="4" w:space="0" w:color="auto"/>
              <w:left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330" w:type="dxa"/>
            <w:tcBorders>
              <w:top w:val="dotted" w:sz="4" w:space="0" w:color="auto"/>
              <w:left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57" w:type="dxa"/>
            <w:tcBorders>
              <w:top w:val="dotted" w:sz="4" w:space="0" w:color="auto"/>
              <w:left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43" w:type="dxa"/>
            <w:tcBorders>
              <w:top w:val="dotted" w:sz="4" w:space="0" w:color="auto"/>
              <w:lef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822069" w:rsidRPr="00025B12" w:rsidTr="00053437">
        <w:trPr>
          <w:trHeight w:val="274"/>
        </w:trPr>
        <w:tc>
          <w:tcPr>
            <w:tcW w:w="7645" w:type="dxa"/>
            <w:gridSpan w:val="4"/>
            <w:shd w:val="clear" w:color="auto" w:fill="663399"/>
          </w:tcPr>
          <w:p w:rsidR="00822069" w:rsidRPr="00025B12" w:rsidRDefault="00822069" w:rsidP="00A9209D">
            <w:pPr>
              <w:spacing w:after="0" w:line="240" w:lineRule="auto"/>
              <w:jc w:val="center"/>
              <w:rPr>
                <w:rFonts w:ascii="Verdana" w:eastAsiaTheme="minorHAnsi" w:hAnsi="Verdana" w:cstheme="minorBidi"/>
                <w:sz w:val="18"/>
                <w:szCs w:val="18"/>
              </w:rPr>
            </w:pPr>
          </w:p>
        </w:tc>
        <w:tc>
          <w:tcPr>
            <w:tcW w:w="1643" w:type="dxa"/>
            <w:shd w:val="clear" w:color="auto" w:fill="663399"/>
          </w:tcPr>
          <w:p w:rsidR="00822069" w:rsidRPr="00025B12" w:rsidRDefault="00822069" w:rsidP="00A9209D">
            <w:pPr>
              <w:spacing w:after="0" w:line="240" w:lineRule="auto"/>
              <w:jc w:val="center"/>
              <w:rPr>
                <w:rFonts w:ascii="Verdana" w:eastAsiaTheme="minorHAnsi" w:hAnsi="Verdana" w:cstheme="minorBidi"/>
                <w:sz w:val="18"/>
                <w:szCs w:val="18"/>
              </w:rPr>
            </w:pPr>
          </w:p>
        </w:tc>
      </w:tr>
      <w:tr w:rsidR="00822069" w:rsidRPr="00025B12" w:rsidTr="00053437">
        <w:trPr>
          <w:trHeight w:val="1746"/>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822069" w:rsidRPr="00025B12" w:rsidRDefault="00822069" w:rsidP="00F55597">
            <w:pPr>
              <w:jc w:val="both"/>
              <w:rPr>
                <w:rFonts w:ascii="Verdana" w:hAnsi="Verdana"/>
                <w:sz w:val="18"/>
                <w:szCs w:val="18"/>
              </w:rPr>
            </w:pPr>
            <w:r w:rsidRPr="00025B12">
              <w:rPr>
                <w:rFonts w:ascii="Verdana" w:hAnsi="Verdana"/>
                <w:sz w:val="18"/>
                <w:szCs w:val="18"/>
              </w:rPr>
              <w:t>Skutečnost, že jednotlivec vynakládá vlastní prostředky na další vzdělávání, svědčí o tom, že své vzdělávání vnímá jako osobní investici. Podíl těchto lidí na celkovém počtu účastníků dalšího vzdělávání naznačuje, do jaké míry je tento názor ve společnosti rozšířen, zároveň však odráží i obecné způsoby financování dalšího vzdělávání. Zatímco částečné hrazení nákladů na další vzdělávání svědčí zejména o ochotě lidí investovat do svého vzdělávání, vysoká míra lidí, kteří si náklad hradí v plné výši, naopak svědčí o nízké míře existující finanční podpory z jiných zdrojů. U formálního vzdělávání je tento indikátor výrazně ovlivněn legislativním systémem upravujícím další vzdělávání v dané zemi. Indikátor je třeba interpretovat ve spojitosti s indikátorem účasti na dalším</w:t>
            </w:r>
            <w:r w:rsidR="00F55597" w:rsidRPr="00025B12">
              <w:rPr>
                <w:rFonts w:ascii="Verdana" w:hAnsi="Verdana"/>
                <w:sz w:val="18"/>
                <w:szCs w:val="18"/>
              </w:rPr>
              <w:t xml:space="preserve"> formálním</w:t>
            </w:r>
            <w:r w:rsidRPr="00025B12">
              <w:rPr>
                <w:rFonts w:ascii="Verdana" w:hAnsi="Verdana"/>
                <w:sz w:val="18"/>
                <w:szCs w:val="18"/>
              </w:rPr>
              <w:t xml:space="preserve"> vzdělávání. Pokud je míra účasti na dalším </w:t>
            </w:r>
            <w:r w:rsidR="00F55597" w:rsidRPr="00025B12">
              <w:rPr>
                <w:rFonts w:ascii="Verdana" w:hAnsi="Verdana"/>
                <w:sz w:val="18"/>
                <w:szCs w:val="18"/>
              </w:rPr>
              <w:t xml:space="preserve">formálním </w:t>
            </w:r>
            <w:r w:rsidRPr="00025B12">
              <w:rPr>
                <w:rFonts w:ascii="Verdana" w:hAnsi="Verdana"/>
                <w:sz w:val="18"/>
                <w:szCs w:val="18"/>
              </w:rPr>
              <w:t xml:space="preserve">vzdělávání nízká a zároveň si většina účastníků hradí </w:t>
            </w:r>
            <w:r w:rsidR="00F55597" w:rsidRPr="00025B12">
              <w:rPr>
                <w:rFonts w:ascii="Verdana" w:hAnsi="Verdana"/>
                <w:sz w:val="18"/>
                <w:szCs w:val="18"/>
              </w:rPr>
              <w:t xml:space="preserve">toto </w:t>
            </w:r>
            <w:r w:rsidRPr="00025B12">
              <w:rPr>
                <w:rFonts w:ascii="Verdana" w:hAnsi="Verdana"/>
                <w:sz w:val="18"/>
                <w:szCs w:val="18"/>
              </w:rPr>
              <w:t xml:space="preserve">vzdělávání sama, pak je zjevné, že finanční důvody mohou tvořit překážku v účasti na dalším vzdělávání. </w:t>
            </w:r>
          </w:p>
        </w:tc>
      </w:tr>
      <w:tr w:rsidR="00822069" w:rsidRPr="00025B12" w:rsidTr="00053437">
        <w:trPr>
          <w:trHeight w:val="1485"/>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822069" w:rsidRPr="00025B12" w:rsidRDefault="00822069" w:rsidP="00C84B47">
            <w:pPr>
              <w:jc w:val="both"/>
              <w:rPr>
                <w:rFonts w:ascii="Verdana" w:hAnsi="Verdana"/>
                <w:sz w:val="18"/>
                <w:szCs w:val="18"/>
              </w:rPr>
            </w:pPr>
            <w:r w:rsidRPr="00025B12">
              <w:rPr>
                <w:rFonts w:ascii="Verdana" w:hAnsi="Verdana"/>
                <w:sz w:val="18"/>
                <w:szCs w:val="18"/>
              </w:rPr>
              <w:t xml:space="preserve">Indikátor se vztahuje k formálnímu vzdělávání populace ve věku 25-64 let. </w:t>
            </w:r>
            <w:r w:rsidR="00C84B47" w:rsidRPr="00025B12">
              <w:rPr>
                <w:rFonts w:ascii="Verdana" w:hAnsi="Verdana"/>
                <w:sz w:val="18"/>
                <w:szCs w:val="18"/>
              </w:rPr>
              <w:t xml:space="preserve">Indikátor je vypočten jako podíl lidí, kteří si úplně nebo částečně hradili náklady na další </w:t>
            </w:r>
            <w:r w:rsidR="00F55597" w:rsidRPr="00025B12">
              <w:rPr>
                <w:rFonts w:ascii="Verdana" w:hAnsi="Verdana"/>
                <w:sz w:val="18"/>
                <w:szCs w:val="18"/>
              </w:rPr>
              <w:t xml:space="preserve">formální </w:t>
            </w:r>
            <w:r w:rsidR="00C84B47" w:rsidRPr="00025B12">
              <w:rPr>
                <w:rFonts w:ascii="Verdana" w:hAnsi="Verdana"/>
                <w:sz w:val="18"/>
                <w:szCs w:val="18"/>
              </w:rPr>
              <w:t xml:space="preserve">vzdělávání, na všech účastnících dalšího </w:t>
            </w:r>
            <w:r w:rsidR="00F55597" w:rsidRPr="00025B12">
              <w:rPr>
                <w:rFonts w:ascii="Verdana" w:hAnsi="Verdana"/>
                <w:sz w:val="18"/>
                <w:szCs w:val="18"/>
              </w:rPr>
              <w:t xml:space="preserve">formálního </w:t>
            </w:r>
            <w:r w:rsidR="00C84B47" w:rsidRPr="00025B12">
              <w:rPr>
                <w:rFonts w:ascii="Verdana" w:hAnsi="Verdana"/>
                <w:sz w:val="18"/>
                <w:szCs w:val="18"/>
              </w:rPr>
              <w:t>vzdělávání</w:t>
            </w:r>
            <w:r w:rsidR="00104DD1" w:rsidRPr="00025B12">
              <w:rPr>
                <w:rFonts w:ascii="Verdana" w:hAnsi="Verdana"/>
                <w:sz w:val="18"/>
                <w:szCs w:val="18"/>
              </w:rPr>
              <w:t xml:space="preserve"> v tomto věku</w:t>
            </w:r>
            <w:r w:rsidR="00C84B47" w:rsidRPr="00025B12">
              <w:rPr>
                <w:rFonts w:ascii="Verdana" w:hAnsi="Verdana"/>
                <w:sz w:val="18"/>
                <w:szCs w:val="18"/>
              </w:rPr>
              <w:t xml:space="preserve">. </w:t>
            </w:r>
            <w:r w:rsidRPr="00025B12">
              <w:rPr>
                <w:rFonts w:ascii="Verdana" w:hAnsi="Verdana"/>
                <w:sz w:val="18"/>
                <w:szCs w:val="18"/>
              </w:rPr>
              <w:t>Údaje se vztahují ke vzdělávání v posledních 12 měsících.</w:t>
            </w:r>
          </w:p>
        </w:tc>
      </w:tr>
      <w:tr w:rsidR="00822069" w:rsidRPr="00025B12" w:rsidTr="00053437">
        <w:trPr>
          <w:trHeight w:val="1392"/>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822069" w:rsidRPr="00025B12" w:rsidRDefault="00822069" w:rsidP="00A9209D">
            <w:pPr>
              <w:jc w:val="both"/>
              <w:rPr>
                <w:rFonts w:ascii="Verdana" w:hAnsi="Verdana"/>
                <w:sz w:val="18"/>
                <w:szCs w:val="18"/>
              </w:rPr>
            </w:pPr>
            <w:r w:rsidRPr="00025B12">
              <w:rPr>
                <w:rFonts w:ascii="Verdana" w:hAnsi="Verdana"/>
                <w:sz w:val="18"/>
                <w:szCs w:val="18"/>
              </w:rPr>
              <w:t>Otázka pro výpočet indikátoru je v dotazníku AES obsažena, konkrétně výsledky této otázky však nejsou publikovány na národní ani na mezinárodní úrovni. Pro výpočet indikátoru by bylo nutné získat přístup k mikrodatům. Regionální údaje by v případě tohoto indikátoru byly málo spolehlivé.</w:t>
            </w:r>
          </w:p>
        </w:tc>
      </w:tr>
      <w:tr w:rsidR="00822069" w:rsidRPr="00025B12" w:rsidTr="00053437">
        <w:trPr>
          <w:trHeight w:val="837"/>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822069" w:rsidRPr="00025B12" w:rsidRDefault="00822069" w:rsidP="00A9209D">
            <w:pPr>
              <w:jc w:val="both"/>
              <w:rPr>
                <w:rFonts w:ascii="Verdana" w:hAnsi="Verdana"/>
                <w:sz w:val="18"/>
                <w:szCs w:val="18"/>
              </w:rPr>
            </w:pPr>
            <w:r w:rsidRPr="00025B12">
              <w:rPr>
                <w:rFonts w:ascii="Verdana" w:hAnsi="Verdana"/>
                <w:sz w:val="18"/>
                <w:szCs w:val="18"/>
              </w:rPr>
              <w:t>-</w:t>
            </w:r>
          </w:p>
        </w:tc>
      </w:tr>
    </w:tbl>
    <w:p w:rsidR="00822069" w:rsidRPr="00025B12" w:rsidRDefault="00822069" w:rsidP="00822069"/>
    <w:p w:rsidR="00822069" w:rsidRPr="00025B12" w:rsidRDefault="00822069" w:rsidP="00822069">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1694"/>
        <w:gridCol w:w="2330"/>
        <w:gridCol w:w="2157"/>
        <w:gridCol w:w="1643"/>
      </w:tblGrid>
      <w:tr w:rsidR="00822069" w:rsidRPr="00025B12" w:rsidTr="00672756">
        <w:trPr>
          <w:trHeight w:val="425"/>
        </w:trPr>
        <w:tc>
          <w:tcPr>
            <w:tcW w:w="1464" w:type="dxa"/>
            <w:tcBorders>
              <w:bottom w:val="single" w:sz="4" w:space="0" w:color="auto"/>
              <w:right w:val="single" w:sz="4" w:space="0" w:color="auto"/>
            </w:tcBorders>
            <w:shd w:val="clear" w:color="auto" w:fill="663399"/>
            <w:vAlign w:val="center"/>
          </w:tcPr>
          <w:p w:rsidR="00822069" w:rsidRPr="00025B12" w:rsidRDefault="00822069" w:rsidP="00A9209D">
            <w:pPr>
              <w:pStyle w:val="Kd"/>
              <w:rPr>
                <w:sz w:val="18"/>
                <w:szCs w:val="18"/>
              </w:rPr>
            </w:pPr>
            <w:r w:rsidRPr="00025B12">
              <w:rPr>
                <w:sz w:val="18"/>
                <w:szCs w:val="18"/>
              </w:rPr>
              <w:br w:type="page"/>
            </w:r>
            <w:r w:rsidRPr="00025B12">
              <w:rPr>
                <w:sz w:val="18"/>
                <w:szCs w:val="18"/>
              </w:rPr>
              <w:br w:type="page"/>
            </w:r>
            <w:bookmarkStart w:id="69" w:name="II13"/>
            <w:r w:rsidRPr="00025B12">
              <w:rPr>
                <w:sz w:val="18"/>
                <w:szCs w:val="18"/>
              </w:rPr>
              <w:t>II.1.</w:t>
            </w:r>
            <w:bookmarkEnd w:id="69"/>
            <w:r w:rsidR="008D36D8" w:rsidRPr="00025B12">
              <w:rPr>
                <w:sz w:val="18"/>
                <w:szCs w:val="18"/>
              </w:rPr>
              <w:t>d2</w:t>
            </w:r>
          </w:p>
        </w:tc>
        <w:tc>
          <w:tcPr>
            <w:tcW w:w="7824" w:type="dxa"/>
            <w:gridSpan w:val="4"/>
            <w:vMerge w:val="restart"/>
            <w:tcBorders>
              <w:top w:val="single" w:sz="4" w:space="0" w:color="auto"/>
              <w:left w:val="single" w:sz="4" w:space="0" w:color="auto"/>
              <w:right w:val="single" w:sz="4" w:space="0" w:color="auto"/>
            </w:tcBorders>
            <w:shd w:val="clear" w:color="auto" w:fill="663399"/>
            <w:vAlign w:val="center"/>
          </w:tcPr>
          <w:p w:rsidR="00822069" w:rsidRPr="00025B12" w:rsidRDefault="00822069"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Výdaje účastníků na další formální vzdělávání</w:t>
            </w:r>
          </w:p>
        </w:tc>
      </w:tr>
      <w:tr w:rsidR="00822069" w:rsidRPr="00025B12" w:rsidTr="00672756">
        <w:trPr>
          <w:trHeight w:val="360"/>
        </w:trPr>
        <w:tc>
          <w:tcPr>
            <w:tcW w:w="1464" w:type="dxa"/>
            <w:tcBorders>
              <w:top w:val="single" w:sz="4" w:space="0" w:color="auto"/>
              <w:bottom w:val="single" w:sz="4" w:space="0" w:color="auto"/>
              <w:right w:val="single" w:sz="4" w:space="0" w:color="auto"/>
            </w:tcBorders>
            <w:shd w:val="clear" w:color="auto" w:fill="663399"/>
            <w:vAlign w:val="center"/>
          </w:tcPr>
          <w:p w:rsidR="00822069" w:rsidRPr="00025B12" w:rsidRDefault="00DD020F"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24" w:type="dxa"/>
            <w:gridSpan w:val="4"/>
            <w:vMerge/>
            <w:tcBorders>
              <w:left w:val="single" w:sz="4" w:space="0" w:color="auto"/>
              <w:bottom w:val="single" w:sz="4" w:space="0" w:color="auto"/>
              <w:right w:val="single"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p>
        </w:tc>
      </w:tr>
      <w:tr w:rsidR="00822069" w:rsidRPr="00025B12" w:rsidTr="00296FE3">
        <w:trPr>
          <w:trHeight w:val="360"/>
        </w:trPr>
        <w:tc>
          <w:tcPr>
            <w:tcW w:w="1464" w:type="dxa"/>
            <w:tcBorders>
              <w:top w:val="single" w:sz="4" w:space="0" w:color="auto"/>
              <w:bottom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sz w:val="18"/>
                <w:szCs w:val="18"/>
              </w:rPr>
            </w:pPr>
          </w:p>
        </w:tc>
        <w:tc>
          <w:tcPr>
            <w:tcW w:w="1694"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30"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7"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43" w:type="dxa"/>
            <w:tcBorders>
              <w:top w:val="single" w:sz="4" w:space="0" w:color="auto"/>
              <w:left w:val="dotted" w:sz="4" w:space="0" w:color="auto"/>
              <w:bottom w:val="dotted" w:sz="4" w:space="0" w:color="auto"/>
            </w:tcBorders>
            <w:vAlign w:val="center"/>
          </w:tcPr>
          <w:p w:rsidR="00822069" w:rsidRPr="00025B12" w:rsidRDefault="00822069"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672756" w:rsidRPr="00025B12" w:rsidTr="00672756">
        <w:trPr>
          <w:trHeight w:val="360"/>
        </w:trPr>
        <w:tc>
          <w:tcPr>
            <w:tcW w:w="1464" w:type="dxa"/>
            <w:tcBorders>
              <w:top w:val="dotted" w:sz="4" w:space="0" w:color="auto"/>
              <w:bottom w:val="dotted" w:sz="4" w:space="0" w:color="auto"/>
              <w:right w:val="dotted" w:sz="4" w:space="0" w:color="auto"/>
            </w:tcBorders>
          </w:tcPr>
          <w:p w:rsidR="00672756" w:rsidRPr="00025B12" w:rsidRDefault="00672756"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94" w:type="dxa"/>
            <w:tcBorders>
              <w:top w:val="dotted" w:sz="4" w:space="0" w:color="auto"/>
              <w:left w:val="dotted" w:sz="4" w:space="0" w:color="auto"/>
              <w:bottom w:val="dotted" w:sz="4" w:space="0" w:color="auto"/>
              <w:right w:val="dotted" w:sz="4" w:space="0" w:color="auto"/>
            </w:tcBorders>
            <w:vAlign w:val="center"/>
          </w:tcPr>
          <w:p w:rsidR="00672756" w:rsidRPr="00025B12" w:rsidRDefault="00665F1D" w:rsidP="00672756">
            <w:pPr>
              <w:spacing w:after="0" w:line="240" w:lineRule="auto"/>
              <w:jc w:val="center"/>
              <w:rPr>
                <w:rFonts w:ascii="Verdana" w:eastAsiaTheme="minorHAnsi" w:hAnsi="Verdana" w:cstheme="minorBidi"/>
                <w:sz w:val="18"/>
                <w:szCs w:val="18"/>
              </w:rPr>
            </w:pPr>
            <w:hyperlink w:anchor="AES" w:history="1">
              <w:r w:rsidR="00672756" w:rsidRPr="00025B12">
                <w:rPr>
                  <w:rStyle w:val="Hypertextovodkaz"/>
                  <w:rFonts w:ascii="Verdana" w:eastAsiaTheme="minorHAnsi" w:hAnsi="Verdana" w:cstheme="minorBidi"/>
                  <w:sz w:val="18"/>
                  <w:szCs w:val="18"/>
                </w:rPr>
                <w:t>AES</w:t>
              </w:r>
            </w:hyperlink>
          </w:p>
        </w:tc>
        <w:tc>
          <w:tcPr>
            <w:tcW w:w="2330" w:type="dxa"/>
            <w:tcBorders>
              <w:top w:val="dotted" w:sz="4" w:space="0" w:color="auto"/>
              <w:left w:val="dotted" w:sz="4" w:space="0" w:color="auto"/>
              <w:bottom w:val="dotted" w:sz="4" w:space="0" w:color="auto"/>
              <w:right w:val="dotted" w:sz="4" w:space="0" w:color="auto"/>
            </w:tcBorders>
            <w:vAlign w:val="center"/>
          </w:tcPr>
          <w:p w:rsidR="00672756" w:rsidRPr="00025B12" w:rsidRDefault="00672756"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57" w:type="dxa"/>
            <w:tcBorders>
              <w:top w:val="dotted" w:sz="4" w:space="0" w:color="auto"/>
              <w:left w:val="dotted" w:sz="4" w:space="0" w:color="auto"/>
              <w:bottom w:val="dotted" w:sz="4" w:space="0" w:color="auto"/>
              <w:right w:val="dotted" w:sz="4" w:space="0" w:color="auto"/>
            </w:tcBorders>
            <w:vAlign w:val="center"/>
          </w:tcPr>
          <w:p w:rsidR="00672756"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643" w:type="dxa"/>
            <w:tcBorders>
              <w:top w:val="dotted" w:sz="4" w:space="0" w:color="auto"/>
              <w:left w:val="dotted" w:sz="4" w:space="0" w:color="auto"/>
              <w:bottom w:val="dotted" w:sz="4" w:space="0" w:color="auto"/>
            </w:tcBorders>
            <w:vAlign w:val="center"/>
          </w:tcPr>
          <w:p w:rsidR="00672756" w:rsidRPr="00025B12" w:rsidRDefault="00672756"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9349B5" w:rsidRPr="00025B12" w:rsidTr="00672756">
        <w:trPr>
          <w:trHeight w:val="360"/>
        </w:trPr>
        <w:tc>
          <w:tcPr>
            <w:tcW w:w="1464" w:type="dxa"/>
            <w:tcBorders>
              <w:top w:val="dotted" w:sz="4" w:space="0" w:color="auto"/>
              <w:bottom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94" w:type="dxa"/>
            <w:tcBorders>
              <w:top w:val="dotted" w:sz="4" w:space="0" w:color="auto"/>
              <w:left w:val="dotted" w:sz="4" w:space="0" w:color="auto"/>
              <w:bottom w:val="dotted" w:sz="4" w:space="0" w:color="auto"/>
              <w:right w:val="dotted" w:sz="4" w:space="0" w:color="auto"/>
            </w:tcBorders>
            <w:vAlign w:val="center"/>
          </w:tcPr>
          <w:p w:rsidR="009349B5" w:rsidRPr="00025B12" w:rsidRDefault="00665F1D" w:rsidP="00672756">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30"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7"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643" w:type="dxa"/>
            <w:tcBorders>
              <w:top w:val="dotted" w:sz="4" w:space="0" w:color="auto"/>
              <w:left w:val="dotted" w:sz="4" w:space="0" w:color="auto"/>
              <w:bottom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822069" w:rsidRPr="00025B12" w:rsidTr="00672756">
        <w:trPr>
          <w:trHeight w:val="360"/>
        </w:trPr>
        <w:tc>
          <w:tcPr>
            <w:tcW w:w="1464" w:type="dxa"/>
            <w:tcBorders>
              <w:top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94" w:type="dxa"/>
            <w:tcBorders>
              <w:top w:val="dotted" w:sz="4" w:space="0" w:color="auto"/>
              <w:left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330" w:type="dxa"/>
            <w:tcBorders>
              <w:top w:val="dotted" w:sz="4" w:space="0" w:color="auto"/>
              <w:left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57" w:type="dxa"/>
            <w:tcBorders>
              <w:top w:val="dotted" w:sz="4" w:space="0" w:color="auto"/>
              <w:left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43" w:type="dxa"/>
            <w:tcBorders>
              <w:top w:val="dotted" w:sz="4" w:space="0" w:color="auto"/>
              <w:lef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822069" w:rsidRPr="00025B12" w:rsidTr="00672756">
        <w:trPr>
          <w:trHeight w:val="274"/>
        </w:trPr>
        <w:tc>
          <w:tcPr>
            <w:tcW w:w="7645" w:type="dxa"/>
            <w:gridSpan w:val="4"/>
            <w:shd w:val="clear" w:color="auto" w:fill="663399"/>
          </w:tcPr>
          <w:p w:rsidR="00822069" w:rsidRPr="00025B12" w:rsidRDefault="00822069" w:rsidP="00A9209D">
            <w:pPr>
              <w:spacing w:after="0" w:line="240" w:lineRule="auto"/>
              <w:jc w:val="center"/>
              <w:rPr>
                <w:rFonts w:ascii="Verdana" w:eastAsiaTheme="minorHAnsi" w:hAnsi="Verdana" w:cstheme="minorBidi"/>
                <w:sz w:val="18"/>
                <w:szCs w:val="18"/>
              </w:rPr>
            </w:pPr>
          </w:p>
        </w:tc>
        <w:tc>
          <w:tcPr>
            <w:tcW w:w="1643" w:type="dxa"/>
            <w:shd w:val="clear" w:color="auto" w:fill="663399"/>
          </w:tcPr>
          <w:p w:rsidR="00822069" w:rsidRPr="00025B12" w:rsidRDefault="00822069" w:rsidP="00A9209D">
            <w:pPr>
              <w:spacing w:after="0" w:line="240" w:lineRule="auto"/>
              <w:jc w:val="center"/>
              <w:rPr>
                <w:rFonts w:ascii="Verdana" w:eastAsiaTheme="minorHAnsi" w:hAnsi="Verdana" w:cstheme="minorBidi"/>
                <w:sz w:val="18"/>
                <w:szCs w:val="18"/>
              </w:rPr>
            </w:pPr>
          </w:p>
        </w:tc>
      </w:tr>
      <w:tr w:rsidR="00822069" w:rsidRPr="00025B12" w:rsidTr="00672756">
        <w:trPr>
          <w:trHeight w:val="1746"/>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822069" w:rsidRPr="00025B12" w:rsidRDefault="00822069" w:rsidP="00A9209D">
            <w:pPr>
              <w:jc w:val="both"/>
              <w:rPr>
                <w:rFonts w:ascii="Verdana" w:hAnsi="Verdana"/>
                <w:sz w:val="18"/>
                <w:szCs w:val="18"/>
              </w:rPr>
            </w:pPr>
            <w:r w:rsidRPr="00025B12">
              <w:rPr>
                <w:rFonts w:ascii="Verdana" w:hAnsi="Verdana"/>
                <w:sz w:val="18"/>
                <w:szCs w:val="18"/>
              </w:rPr>
              <w:t>Objem výdajů účastníka na další vzdělávání vypovídá o investicích, které vynakládají jednotlivci na další formální vzdělávání. Tyto částky jsou silně ovlivněny tím, jak je nastavena vzdělávací politika v oblasti formálního vzdělávání. Vypovídají o ochotě jednotlivců investovat soukromé prostředky do zvyšování formální kvalifikace.</w:t>
            </w:r>
          </w:p>
        </w:tc>
      </w:tr>
      <w:tr w:rsidR="00822069" w:rsidRPr="00025B12" w:rsidTr="00672756">
        <w:trPr>
          <w:trHeight w:val="1485"/>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822069" w:rsidRPr="00025B12" w:rsidRDefault="00822069" w:rsidP="006C6F72">
            <w:pPr>
              <w:jc w:val="both"/>
              <w:rPr>
                <w:rFonts w:ascii="Verdana" w:hAnsi="Verdana"/>
                <w:sz w:val="18"/>
                <w:szCs w:val="18"/>
              </w:rPr>
            </w:pPr>
            <w:r w:rsidRPr="00025B12">
              <w:rPr>
                <w:rFonts w:ascii="Verdana" w:hAnsi="Verdana"/>
                <w:sz w:val="18"/>
                <w:szCs w:val="18"/>
              </w:rPr>
              <w:t>Indikátor je vypočten jako objem peněz vydaných na formální vzdělávání v posledních 12 měsících v průměru jedním účastníkem. Indikátor je přepočten z EUR na PPS kvůli zrušení vlivu rozdílných cenových hladin v jednotlivých zemích (je tak přepočten na cenovou hladinu průměru EU-27).</w:t>
            </w:r>
          </w:p>
        </w:tc>
      </w:tr>
      <w:tr w:rsidR="00822069" w:rsidRPr="00025B12" w:rsidTr="00672756">
        <w:trPr>
          <w:trHeight w:val="1392"/>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822069" w:rsidRPr="00025B12" w:rsidRDefault="00822069" w:rsidP="00A9209D">
            <w:pPr>
              <w:jc w:val="both"/>
              <w:rPr>
                <w:rFonts w:ascii="Verdana" w:hAnsi="Verdana"/>
                <w:sz w:val="18"/>
                <w:szCs w:val="18"/>
              </w:rPr>
            </w:pPr>
            <w:r w:rsidRPr="00025B12">
              <w:rPr>
                <w:rFonts w:ascii="Verdana" w:hAnsi="Verdana"/>
                <w:sz w:val="18"/>
                <w:szCs w:val="18"/>
              </w:rPr>
              <w:t>Data pro výpočet indikátoru pocházejí z mezinárodního šetření AES. Indikátor je přebírán z webových stránek Eurostatu, přepočet na cenovou hladinu je proveden následně. Regionální údaje by v případě tohoto indikátoru byly vzhledem k nízké účasti dospělých na formálním vzdělávání málo spolehlivé.</w:t>
            </w:r>
          </w:p>
        </w:tc>
      </w:tr>
      <w:tr w:rsidR="00822069" w:rsidRPr="00025B12" w:rsidTr="00672756">
        <w:trPr>
          <w:trHeight w:val="837"/>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822069" w:rsidRPr="00025B12" w:rsidRDefault="00F55597" w:rsidP="00A9209D">
            <w:pPr>
              <w:jc w:val="both"/>
              <w:rPr>
                <w:rFonts w:ascii="Verdana" w:hAnsi="Verdana"/>
                <w:sz w:val="18"/>
                <w:szCs w:val="18"/>
              </w:rPr>
            </w:pPr>
            <w:r w:rsidRPr="00025B12">
              <w:rPr>
                <w:rFonts w:ascii="Verdana" w:hAnsi="Verdana"/>
                <w:sz w:val="18"/>
                <w:szCs w:val="18"/>
              </w:rPr>
              <w:t>Vzhledem k poměrně velkým intervalům mezi šetřeními AES a vzhledem k tomu, že se nejedná o klíčovou otázku, není jisté, zda indikátor bude zachován i po roce 2011.</w:t>
            </w:r>
          </w:p>
        </w:tc>
      </w:tr>
    </w:tbl>
    <w:p w:rsidR="00822069" w:rsidRPr="00025B12" w:rsidRDefault="00822069" w:rsidP="00822069"/>
    <w:p w:rsidR="00822069" w:rsidRPr="00025B12" w:rsidRDefault="00822069" w:rsidP="00822069">
      <w:r w:rsidRPr="00025B12">
        <w:br w:type="page"/>
      </w:r>
    </w:p>
    <w:p w:rsidR="00822069" w:rsidRPr="00025B12" w:rsidRDefault="00822069" w:rsidP="008220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1694"/>
        <w:gridCol w:w="2330"/>
        <w:gridCol w:w="2157"/>
        <w:gridCol w:w="1643"/>
      </w:tblGrid>
      <w:tr w:rsidR="00822069" w:rsidRPr="00025B12" w:rsidTr="00672756">
        <w:trPr>
          <w:trHeight w:val="425"/>
        </w:trPr>
        <w:tc>
          <w:tcPr>
            <w:tcW w:w="1464" w:type="dxa"/>
            <w:tcBorders>
              <w:bottom w:val="single" w:sz="4" w:space="0" w:color="auto"/>
              <w:right w:val="single" w:sz="4" w:space="0" w:color="auto"/>
            </w:tcBorders>
            <w:shd w:val="clear" w:color="auto" w:fill="663399"/>
            <w:vAlign w:val="center"/>
          </w:tcPr>
          <w:p w:rsidR="00822069" w:rsidRPr="00025B12" w:rsidRDefault="00822069" w:rsidP="00A9209D">
            <w:pPr>
              <w:pStyle w:val="Kd"/>
              <w:rPr>
                <w:sz w:val="18"/>
                <w:szCs w:val="18"/>
              </w:rPr>
            </w:pPr>
            <w:r w:rsidRPr="00025B12">
              <w:rPr>
                <w:sz w:val="18"/>
                <w:szCs w:val="18"/>
              </w:rPr>
              <w:br w:type="page"/>
            </w:r>
            <w:r w:rsidRPr="00025B12">
              <w:rPr>
                <w:sz w:val="18"/>
                <w:szCs w:val="18"/>
              </w:rPr>
              <w:br w:type="page"/>
            </w:r>
            <w:bookmarkStart w:id="70" w:name="II14"/>
            <w:r w:rsidRPr="00025B12">
              <w:rPr>
                <w:sz w:val="18"/>
                <w:szCs w:val="18"/>
              </w:rPr>
              <w:t>II.1.</w:t>
            </w:r>
            <w:bookmarkEnd w:id="70"/>
            <w:r w:rsidR="008D36D8" w:rsidRPr="00025B12">
              <w:rPr>
                <w:sz w:val="18"/>
                <w:szCs w:val="18"/>
              </w:rPr>
              <w:t>d3</w:t>
            </w:r>
          </w:p>
        </w:tc>
        <w:tc>
          <w:tcPr>
            <w:tcW w:w="7824" w:type="dxa"/>
            <w:gridSpan w:val="4"/>
            <w:vMerge w:val="restart"/>
            <w:tcBorders>
              <w:top w:val="single" w:sz="4" w:space="0" w:color="auto"/>
              <w:left w:val="single" w:sz="4" w:space="0" w:color="auto"/>
              <w:right w:val="single" w:sz="4" w:space="0" w:color="auto"/>
            </w:tcBorders>
            <w:shd w:val="clear" w:color="auto" w:fill="663399"/>
            <w:vAlign w:val="center"/>
          </w:tcPr>
          <w:p w:rsidR="00822069" w:rsidRPr="00025B12" w:rsidRDefault="00822069"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Výdaje účastníků na další neformální vzdělávání</w:t>
            </w:r>
          </w:p>
        </w:tc>
      </w:tr>
      <w:tr w:rsidR="00822069" w:rsidRPr="00025B12" w:rsidTr="00672756">
        <w:trPr>
          <w:trHeight w:val="360"/>
        </w:trPr>
        <w:tc>
          <w:tcPr>
            <w:tcW w:w="1464" w:type="dxa"/>
            <w:tcBorders>
              <w:top w:val="single" w:sz="4" w:space="0" w:color="auto"/>
              <w:bottom w:val="single" w:sz="4" w:space="0" w:color="auto"/>
              <w:right w:val="single" w:sz="4" w:space="0" w:color="auto"/>
            </w:tcBorders>
            <w:shd w:val="clear" w:color="auto" w:fill="663399"/>
            <w:vAlign w:val="center"/>
          </w:tcPr>
          <w:p w:rsidR="00822069" w:rsidRPr="00025B12" w:rsidRDefault="0039553C"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24" w:type="dxa"/>
            <w:gridSpan w:val="4"/>
            <w:vMerge/>
            <w:tcBorders>
              <w:left w:val="single" w:sz="4" w:space="0" w:color="auto"/>
              <w:bottom w:val="single" w:sz="4" w:space="0" w:color="auto"/>
              <w:right w:val="single"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p>
        </w:tc>
      </w:tr>
      <w:tr w:rsidR="00822069" w:rsidRPr="00025B12" w:rsidTr="00296FE3">
        <w:trPr>
          <w:trHeight w:val="360"/>
        </w:trPr>
        <w:tc>
          <w:tcPr>
            <w:tcW w:w="1464" w:type="dxa"/>
            <w:tcBorders>
              <w:top w:val="single" w:sz="4" w:space="0" w:color="auto"/>
              <w:bottom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sz w:val="18"/>
                <w:szCs w:val="18"/>
              </w:rPr>
            </w:pPr>
          </w:p>
        </w:tc>
        <w:tc>
          <w:tcPr>
            <w:tcW w:w="1694"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30"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57"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43" w:type="dxa"/>
            <w:tcBorders>
              <w:top w:val="single" w:sz="4" w:space="0" w:color="auto"/>
              <w:left w:val="dotted" w:sz="4" w:space="0" w:color="auto"/>
              <w:bottom w:val="dotted" w:sz="4" w:space="0" w:color="auto"/>
            </w:tcBorders>
            <w:vAlign w:val="center"/>
          </w:tcPr>
          <w:p w:rsidR="00822069" w:rsidRPr="00025B12" w:rsidRDefault="00822069"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9349B5" w:rsidRPr="00025B12" w:rsidTr="00672756">
        <w:trPr>
          <w:trHeight w:val="360"/>
        </w:trPr>
        <w:tc>
          <w:tcPr>
            <w:tcW w:w="1464" w:type="dxa"/>
            <w:tcBorders>
              <w:top w:val="dotted" w:sz="4" w:space="0" w:color="auto"/>
              <w:bottom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94" w:type="dxa"/>
            <w:tcBorders>
              <w:top w:val="dotted" w:sz="4" w:space="0" w:color="auto"/>
              <w:left w:val="dotted" w:sz="4" w:space="0" w:color="auto"/>
              <w:bottom w:val="dotted" w:sz="4" w:space="0" w:color="auto"/>
              <w:right w:val="dotted" w:sz="4" w:space="0" w:color="auto"/>
            </w:tcBorders>
            <w:vAlign w:val="center"/>
          </w:tcPr>
          <w:p w:rsidR="009349B5" w:rsidRPr="00025B12" w:rsidRDefault="00665F1D" w:rsidP="00672756">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30"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57"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643" w:type="dxa"/>
            <w:tcBorders>
              <w:top w:val="dotted" w:sz="4" w:space="0" w:color="auto"/>
              <w:left w:val="dotted" w:sz="4" w:space="0" w:color="auto"/>
              <w:bottom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w:t>
            </w:r>
          </w:p>
        </w:tc>
      </w:tr>
      <w:tr w:rsidR="009349B5" w:rsidRPr="00025B12" w:rsidTr="00672756">
        <w:trPr>
          <w:trHeight w:val="360"/>
        </w:trPr>
        <w:tc>
          <w:tcPr>
            <w:tcW w:w="1464" w:type="dxa"/>
            <w:tcBorders>
              <w:top w:val="dotted" w:sz="4" w:space="0" w:color="auto"/>
              <w:bottom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94" w:type="dxa"/>
            <w:tcBorders>
              <w:top w:val="dotted" w:sz="4" w:space="0" w:color="auto"/>
              <w:left w:val="dotted" w:sz="4" w:space="0" w:color="auto"/>
              <w:bottom w:val="dotted" w:sz="4" w:space="0" w:color="auto"/>
              <w:right w:val="dotted" w:sz="4" w:space="0" w:color="auto"/>
            </w:tcBorders>
            <w:vAlign w:val="center"/>
          </w:tcPr>
          <w:p w:rsidR="009349B5" w:rsidRPr="00025B12" w:rsidRDefault="00665F1D" w:rsidP="00672756">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30"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7"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643" w:type="dxa"/>
            <w:tcBorders>
              <w:top w:val="dotted" w:sz="4" w:space="0" w:color="auto"/>
              <w:left w:val="dotted" w:sz="4" w:space="0" w:color="auto"/>
              <w:bottom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 xml:space="preserve">2007 </w:t>
            </w:r>
          </w:p>
        </w:tc>
      </w:tr>
      <w:tr w:rsidR="009349B5" w:rsidRPr="00025B12" w:rsidTr="00672756">
        <w:trPr>
          <w:trHeight w:val="360"/>
        </w:trPr>
        <w:tc>
          <w:tcPr>
            <w:tcW w:w="1464" w:type="dxa"/>
            <w:tcBorders>
              <w:top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94" w:type="dxa"/>
            <w:tcBorders>
              <w:top w:val="dotted" w:sz="4" w:space="0" w:color="auto"/>
              <w:left w:val="dotted" w:sz="4" w:space="0" w:color="auto"/>
              <w:right w:val="dotted" w:sz="4" w:space="0" w:color="auto"/>
            </w:tcBorders>
            <w:vAlign w:val="center"/>
          </w:tcPr>
          <w:p w:rsidR="009349B5" w:rsidRPr="00025B12" w:rsidRDefault="00665F1D" w:rsidP="00500457">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30" w:type="dxa"/>
            <w:tcBorders>
              <w:top w:val="dotted" w:sz="4" w:space="0" w:color="auto"/>
              <w:left w:val="dotted" w:sz="4" w:space="0" w:color="auto"/>
              <w:right w:val="dotted" w:sz="4" w:space="0" w:color="auto"/>
            </w:tcBorders>
            <w:vAlign w:val="center"/>
          </w:tcPr>
          <w:p w:rsidR="009349B5" w:rsidRPr="00025B12" w:rsidRDefault="009349B5" w:rsidP="00500457">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57" w:type="dxa"/>
            <w:tcBorders>
              <w:top w:val="dotted" w:sz="4" w:space="0" w:color="auto"/>
              <w:left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643" w:type="dxa"/>
            <w:tcBorders>
              <w:top w:val="dotted" w:sz="4" w:space="0" w:color="auto"/>
              <w:left w:val="dotted" w:sz="4" w:space="0" w:color="auto"/>
            </w:tcBorders>
            <w:vAlign w:val="center"/>
          </w:tcPr>
          <w:p w:rsidR="009349B5" w:rsidRPr="00025B12" w:rsidRDefault="009349B5" w:rsidP="00500457">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 xml:space="preserve">2007 </w:t>
            </w:r>
          </w:p>
        </w:tc>
      </w:tr>
      <w:tr w:rsidR="00BC5156" w:rsidRPr="00025B12" w:rsidTr="00672756">
        <w:trPr>
          <w:trHeight w:val="274"/>
        </w:trPr>
        <w:tc>
          <w:tcPr>
            <w:tcW w:w="7645" w:type="dxa"/>
            <w:gridSpan w:val="4"/>
            <w:shd w:val="clear" w:color="auto" w:fill="663399"/>
          </w:tcPr>
          <w:p w:rsidR="00BC5156" w:rsidRPr="00025B12" w:rsidRDefault="00BC5156" w:rsidP="00A9209D">
            <w:pPr>
              <w:spacing w:after="0" w:line="240" w:lineRule="auto"/>
              <w:jc w:val="center"/>
              <w:rPr>
                <w:rFonts w:ascii="Verdana" w:eastAsiaTheme="minorHAnsi" w:hAnsi="Verdana" w:cstheme="minorBidi"/>
                <w:sz w:val="18"/>
                <w:szCs w:val="18"/>
              </w:rPr>
            </w:pPr>
          </w:p>
        </w:tc>
        <w:tc>
          <w:tcPr>
            <w:tcW w:w="1643" w:type="dxa"/>
            <w:shd w:val="clear" w:color="auto" w:fill="663399"/>
          </w:tcPr>
          <w:p w:rsidR="00BC5156" w:rsidRPr="00025B12" w:rsidRDefault="00BC5156" w:rsidP="00A9209D">
            <w:pPr>
              <w:spacing w:after="0" w:line="240" w:lineRule="auto"/>
              <w:jc w:val="center"/>
              <w:rPr>
                <w:rFonts w:ascii="Verdana" w:eastAsiaTheme="minorHAnsi" w:hAnsi="Verdana" w:cstheme="minorBidi"/>
                <w:sz w:val="18"/>
                <w:szCs w:val="18"/>
              </w:rPr>
            </w:pPr>
          </w:p>
        </w:tc>
      </w:tr>
      <w:tr w:rsidR="00BC5156" w:rsidRPr="00025B12" w:rsidTr="00672756">
        <w:trPr>
          <w:trHeight w:val="1746"/>
        </w:trPr>
        <w:tc>
          <w:tcPr>
            <w:tcW w:w="9288" w:type="dxa"/>
            <w:gridSpan w:val="5"/>
          </w:tcPr>
          <w:p w:rsidR="00BC5156" w:rsidRPr="00025B12" w:rsidRDefault="00BC5156"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BC5156" w:rsidRPr="00025B12" w:rsidRDefault="00BC5156" w:rsidP="00A9209D">
            <w:pPr>
              <w:jc w:val="both"/>
              <w:rPr>
                <w:rFonts w:ascii="Verdana" w:hAnsi="Verdana"/>
                <w:sz w:val="18"/>
                <w:szCs w:val="18"/>
              </w:rPr>
            </w:pPr>
            <w:r w:rsidRPr="00025B12">
              <w:rPr>
                <w:rFonts w:ascii="Verdana" w:hAnsi="Verdana"/>
                <w:sz w:val="18"/>
                <w:szCs w:val="18"/>
              </w:rPr>
              <w:t>Objem výdajů účastníka na další vzdělávání vypovídá o investicích, které vynakládají jednotlivci na další formální vzdělávání. Vypovídají o ochotě jednotlivců investovat soukromé prostředky do zvyšování formální kvalifikace. V kombinaci s indikátorem účasti na dalším neformální</w:t>
            </w:r>
            <w:r w:rsidR="000666A1" w:rsidRPr="00025B12">
              <w:rPr>
                <w:rFonts w:ascii="Verdana" w:hAnsi="Verdana"/>
                <w:sz w:val="18"/>
                <w:szCs w:val="18"/>
              </w:rPr>
              <w:t>m</w:t>
            </w:r>
            <w:r w:rsidRPr="00025B12">
              <w:rPr>
                <w:rFonts w:ascii="Verdana" w:hAnsi="Verdana"/>
                <w:sz w:val="18"/>
                <w:szCs w:val="18"/>
              </w:rPr>
              <w:t xml:space="preserve"> vzdělávání popisuje indikátor, jak moc investují do dalšího vzdělávání sami účastníci a z jaké míry jej hradí další subjekty (např. zaměstnavatelé, úřady práce apod.) </w:t>
            </w:r>
          </w:p>
        </w:tc>
      </w:tr>
      <w:tr w:rsidR="00BC5156" w:rsidRPr="00025B12" w:rsidTr="00672756">
        <w:trPr>
          <w:trHeight w:val="1485"/>
        </w:trPr>
        <w:tc>
          <w:tcPr>
            <w:tcW w:w="9288" w:type="dxa"/>
            <w:gridSpan w:val="5"/>
          </w:tcPr>
          <w:p w:rsidR="00BC5156" w:rsidRPr="00025B12" w:rsidRDefault="00BC5156"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BC5156" w:rsidRPr="00025B12" w:rsidRDefault="00BC5156" w:rsidP="006C6F72">
            <w:pPr>
              <w:jc w:val="both"/>
              <w:rPr>
                <w:rFonts w:ascii="Verdana" w:hAnsi="Verdana"/>
                <w:sz w:val="18"/>
                <w:szCs w:val="18"/>
              </w:rPr>
            </w:pPr>
            <w:r w:rsidRPr="00025B12">
              <w:rPr>
                <w:rFonts w:ascii="Verdana" w:hAnsi="Verdana"/>
                <w:sz w:val="18"/>
                <w:szCs w:val="18"/>
              </w:rPr>
              <w:t>Indikátor je vypočten jako objem peněz vydaných na neformální vzdělávání v posledních 12 měsících v průměru jedním účastníkem. Indikátor je přepočten z EUR na PPS kvůli zrušení vlivu rozdílných cenových hladin v jednotlivých zemích (je tak přepočten na cenovou hladinu průměru EU-27).</w:t>
            </w:r>
          </w:p>
        </w:tc>
      </w:tr>
      <w:tr w:rsidR="00BC5156" w:rsidRPr="00025B12" w:rsidTr="00672756">
        <w:trPr>
          <w:trHeight w:val="1392"/>
        </w:trPr>
        <w:tc>
          <w:tcPr>
            <w:tcW w:w="9288" w:type="dxa"/>
            <w:gridSpan w:val="5"/>
          </w:tcPr>
          <w:p w:rsidR="00BC5156" w:rsidRPr="00025B12" w:rsidRDefault="00BC5156"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39553C" w:rsidRPr="00025B12" w:rsidRDefault="00BC5156" w:rsidP="00304766">
            <w:pPr>
              <w:jc w:val="both"/>
              <w:rPr>
                <w:rFonts w:ascii="Verdana" w:hAnsi="Verdana"/>
                <w:sz w:val="18"/>
                <w:szCs w:val="18"/>
              </w:rPr>
            </w:pPr>
            <w:r w:rsidRPr="00025B12">
              <w:rPr>
                <w:rFonts w:ascii="Verdana" w:hAnsi="Verdana"/>
                <w:sz w:val="18"/>
                <w:szCs w:val="18"/>
              </w:rPr>
              <w:t>Data pro výpočet indikátoru pocházejí z mezinárodního šetření AES. Indikátor je přebírán z webových stránek Eurostatu, přepočet na cenovou hladinu je proveden následně. Pro získání regionálních údajů je třeba výpočet z mikrodat.</w:t>
            </w:r>
            <w:r w:rsidR="0039553C" w:rsidRPr="00025B12">
              <w:rPr>
                <w:rFonts w:ascii="Verdana" w:hAnsi="Verdana"/>
                <w:sz w:val="18"/>
                <w:szCs w:val="18"/>
              </w:rPr>
              <w:t xml:space="preserve"> </w:t>
            </w:r>
          </w:p>
        </w:tc>
      </w:tr>
      <w:tr w:rsidR="00BC5156" w:rsidRPr="00025B12" w:rsidTr="00672756">
        <w:trPr>
          <w:trHeight w:val="837"/>
        </w:trPr>
        <w:tc>
          <w:tcPr>
            <w:tcW w:w="9288" w:type="dxa"/>
            <w:gridSpan w:val="5"/>
          </w:tcPr>
          <w:p w:rsidR="00BC5156" w:rsidRPr="00025B12" w:rsidRDefault="00BC5156"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BC5156" w:rsidRPr="00025B12" w:rsidRDefault="00304766" w:rsidP="00A9209D">
            <w:pPr>
              <w:jc w:val="both"/>
              <w:rPr>
                <w:rFonts w:ascii="Verdana" w:hAnsi="Verdana"/>
                <w:sz w:val="18"/>
                <w:szCs w:val="18"/>
              </w:rPr>
            </w:pPr>
            <w:r w:rsidRPr="00025B12">
              <w:rPr>
                <w:rFonts w:ascii="Verdana" w:hAnsi="Verdana"/>
                <w:sz w:val="18"/>
                <w:szCs w:val="18"/>
              </w:rPr>
              <w:t xml:space="preserve"> Od roku 2011 již není v dotazníku AES otázka zařazena.</w:t>
            </w:r>
          </w:p>
        </w:tc>
      </w:tr>
    </w:tbl>
    <w:p w:rsidR="00822069" w:rsidRPr="00025B12" w:rsidRDefault="00822069" w:rsidP="00822069"/>
    <w:p w:rsidR="00C43089" w:rsidRPr="00025B12" w:rsidRDefault="00822069" w:rsidP="0017374A">
      <w:pPr>
        <w:rPr>
          <w:rFonts w:ascii="Verdana" w:hAnsi="Verdana"/>
          <w:b/>
          <w:sz w:val="24"/>
          <w:szCs w:val="24"/>
        </w:rPr>
      </w:pPr>
      <w:r w:rsidRPr="00025B12">
        <w:br w:type="page"/>
      </w:r>
      <w:r w:rsidR="00C43089" w:rsidRPr="00025B12">
        <w:rPr>
          <w:rFonts w:ascii="Verdana" w:hAnsi="Verdana"/>
          <w:b/>
          <w:sz w:val="24"/>
          <w:szCs w:val="24"/>
        </w:rPr>
        <w:lastRenderedPageBreak/>
        <w:t xml:space="preserve">II.2 Výdaje </w:t>
      </w:r>
      <w:r w:rsidR="001C487A" w:rsidRPr="00025B12">
        <w:rPr>
          <w:rFonts w:ascii="Verdana" w:hAnsi="Verdana"/>
          <w:b/>
          <w:sz w:val="24"/>
          <w:szCs w:val="24"/>
        </w:rPr>
        <w:t>zaměstnavatelů</w:t>
      </w:r>
      <w:r w:rsidR="00C43089" w:rsidRPr="00025B12">
        <w:rPr>
          <w:rFonts w:ascii="Verdana" w:hAnsi="Verdana"/>
          <w:b/>
          <w:sz w:val="24"/>
          <w:szCs w:val="24"/>
        </w:rPr>
        <w:t xml:space="preserve"> na další vzdělávání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58"/>
        <w:gridCol w:w="2303"/>
        <w:gridCol w:w="2126"/>
        <w:gridCol w:w="1749"/>
      </w:tblGrid>
      <w:tr w:rsidR="00EB5AE2" w:rsidRPr="00025B12" w:rsidTr="00D131AA">
        <w:trPr>
          <w:trHeight w:val="425"/>
        </w:trPr>
        <w:tc>
          <w:tcPr>
            <w:tcW w:w="1452" w:type="dxa"/>
            <w:tcBorders>
              <w:bottom w:val="single" w:sz="4" w:space="0" w:color="auto"/>
              <w:right w:val="single" w:sz="4" w:space="0" w:color="auto"/>
            </w:tcBorders>
            <w:shd w:val="clear" w:color="auto" w:fill="663399"/>
            <w:vAlign w:val="center"/>
          </w:tcPr>
          <w:p w:rsidR="00EB5AE2" w:rsidRPr="00025B12" w:rsidRDefault="00EB5AE2" w:rsidP="00D131AA">
            <w:pPr>
              <w:pStyle w:val="Kd"/>
              <w:rPr>
                <w:sz w:val="18"/>
                <w:szCs w:val="18"/>
              </w:rPr>
            </w:pPr>
            <w:r w:rsidRPr="00025B12">
              <w:rPr>
                <w:sz w:val="18"/>
                <w:szCs w:val="18"/>
              </w:rPr>
              <w:br w:type="page"/>
            </w:r>
            <w:r w:rsidRPr="00025B12">
              <w:rPr>
                <w:sz w:val="18"/>
                <w:szCs w:val="18"/>
              </w:rPr>
              <w:br w:type="page"/>
            </w:r>
            <w:bookmarkStart w:id="71" w:name="II22"/>
            <w:r w:rsidRPr="00025B12">
              <w:rPr>
                <w:sz w:val="18"/>
                <w:szCs w:val="18"/>
              </w:rPr>
              <w:t>II.2.</w:t>
            </w:r>
            <w:bookmarkEnd w:id="71"/>
            <w:r w:rsidRPr="00025B12">
              <w:rPr>
                <w:sz w:val="18"/>
                <w:szCs w:val="18"/>
              </w:rPr>
              <w:t>1</w:t>
            </w:r>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EB5AE2" w:rsidRPr="00025B12" w:rsidRDefault="002275FC" w:rsidP="00F54AB4">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Podíl nákladů na další vzdělávání zaměstnanců na celkových nákladech práce</w:t>
            </w:r>
          </w:p>
        </w:tc>
      </w:tr>
      <w:tr w:rsidR="00EB5AE2" w:rsidRPr="00025B12" w:rsidTr="00D131AA">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EB5AE2" w:rsidRPr="00025B12" w:rsidRDefault="00EB5AE2"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36" w:type="dxa"/>
            <w:gridSpan w:val="4"/>
            <w:vMerge/>
            <w:tcBorders>
              <w:left w:val="single" w:sz="4" w:space="0" w:color="auto"/>
              <w:bottom w:val="single" w:sz="4" w:space="0" w:color="auto"/>
              <w:right w:val="single"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p>
        </w:tc>
      </w:tr>
      <w:tr w:rsidR="00EB5AE2" w:rsidRPr="00025B12" w:rsidTr="00296FE3">
        <w:trPr>
          <w:trHeight w:val="360"/>
        </w:trPr>
        <w:tc>
          <w:tcPr>
            <w:tcW w:w="1452" w:type="dxa"/>
            <w:tcBorders>
              <w:top w:val="single" w:sz="4" w:space="0" w:color="auto"/>
              <w:bottom w:val="dotted" w:sz="4" w:space="0" w:color="auto"/>
              <w:right w:val="dotted" w:sz="4" w:space="0" w:color="auto"/>
            </w:tcBorders>
          </w:tcPr>
          <w:p w:rsidR="00EB5AE2" w:rsidRPr="00025B12" w:rsidRDefault="00EB5AE2" w:rsidP="00D131AA">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EB5AE2" w:rsidRPr="00025B12" w:rsidRDefault="00EB5AE2"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EB5AE2" w:rsidRPr="00025B12" w:rsidTr="00D131AA">
        <w:trPr>
          <w:trHeight w:val="360"/>
        </w:trPr>
        <w:tc>
          <w:tcPr>
            <w:tcW w:w="1452" w:type="dxa"/>
            <w:tcBorders>
              <w:top w:val="dotted" w:sz="4" w:space="0" w:color="auto"/>
              <w:bottom w:val="dotted" w:sz="4" w:space="0" w:color="auto"/>
              <w:right w:val="dotted" w:sz="4" w:space="0" w:color="auto"/>
            </w:tcBorders>
          </w:tcPr>
          <w:p w:rsidR="00EB5AE2" w:rsidRPr="00025B12" w:rsidRDefault="00EB5AE2"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EB5AE2" w:rsidRPr="00025B12" w:rsidRDefault="00665F1D" w:rsidP="00D131AA">
            <w:pPr>
              <w:spacing w:after="0" w:line="240" w:lineRule="auto"/>
              <w:jc w:val="center"/>
              <w:rPr>
                <w:rFonts w:ascii="Verdana" w:eastAsiaTheme="minorHAnsi" w:hAnsi="Verdana" w:cstheme="minorBidi"/>
                <w:sz w:val="18"/>
                <w:szCs w:val="18"/>
              </w:rPr>
            </w:pPr>
            <w:hyperlink w:anchor="LCS" w:history="1">
              <w:r w:rsidR="00EB5AE2" w:rsidRPr="00025B12">
                <w:rPr>
                  <w:rStyle w:val="Hypertextovodkaz"/>
                  <w:rFonts w:ascii="Verdana" w:eastAsiaTheme="minorHAnsi" w:hAnsi="Verdana" w:cstheme="minorBidi"/>
                  <w:sz w:val="18"/>
                  <w:szCs w:val="18"/>
                </w:rPr>
                <w:t>LCS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26" w:type="dxa"/>
            <w:tcBorders>
              <w:top w:val="dotted"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4 roky</w:t>
            </w:r>
          </w:p>
        </w:tc>
        <w:tc>
          <w:tcPr>
            <w:tcW w:w="1749" w:type="dxa"/>
            <w:tcBorders>
              <w:top w:val="dotted" w:sz="4" w:space="0" w:color="auto"/>
              <w:left w:val="dotted" w:sz="4" w:space="0" w:color="auto"/>
              <w:bottom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2000, 2004, 2008, (2012)</w:t>
            </w:r>
          </w:p>
        </w:tc>
      </w:tr>
      <w:tr w:rsidR="00EB5AE2" w:rsidRPr="00025B12" w:rsidTr="00D131AA">
        <w:trPr>
          <w:trHeight w:val="360"/>
        </w:trPr>
        <w:tc>
          <w:tcPr>
            <w:tcW w:w="1452" w:type="dxa"/>
            <w:tcBorders>
              <w:top w:val="dotted" w:sz="4" w:space="0" w:color="auto"/>
              <w:bottom w:val="dotted" w:sz="4" w:space="0" w:color="auto"/>
              <w:right w:val="dotted" w:sz="4" w:space="0" w:color="auto"/>
            </w:tcBorders>
          </w:tcPr>
          <w:p w:rsidR="00EB5AE2" w:rsidRPr="00025B12" w:rsidRDefault="00EB5AE2"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EB5AE2" w:rsidRPr="00025B12" w:rsidRDefault="00665F1D" w:rsidP="00D131AA">
            <w:pPr>
              <w:spacing w:after="0" w:line="240" w:lineRule="auto"/>
              <w:jc w:val="center"/>
              <w:rPr>
                <w:rFonts w:ascii="Verdana" w:eastAsiaTheme="minorHAnsi" w:hAnsi="Verdana" w:cstheme="minorBidi"/>
                <w:sz w:val="18"/>
                <w:szCs w:val="18"/>
              </w:rPr>
            </w:pPr>
            <w:hyperlink w:anchor="LCS" w:history="1">
              <w:r w:rsidR="00EB5AE2" w:rsidRPr="00025B12">
                <w:rPr>
                  <w:rStyle w:val="Hypertextovodkaz"/>
                  <w:rFonts w:ascii="Verdana" w:eastAsiaTheme="minorHAnsi" w:hAnsi="Verdana" w:cstheme="minorBidi"/>
                  <w:sz w:val="18"/>
                  <w:szCs w:val="18"/>
                </w:rPr>
                <w:t>UNP 4-01</w:t>
              </w:r>
            </w:hyperlink>
          </w:p>
        </w:tc>
        <w:tc>
          <w:tcPr>
            <w:tcW w:w="2303" w:type="dxa"/>
            <w:tcBorders>
              <w:top w:val="dotted"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bottom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2003</w:t>
            </w:r>
          </w:p>
        </w:tc>
      </w:tr>
      <w:tr w:rsidR="00EB5AE2" w:rsidRPr="00025B12" w:rsidTr="00D131AA">
        <w:trPr>
          <w:trHeight w:val="360"/>
        </w:trPr>
        <w:tc>
          <w:tcPr>
            <w:tcW w:w="1452" w:type="dxa"/>
            <w:tcBorders>
              <w:top w:val="dotted" w:sz="4" w:space="0" w:color="auto"/>
              <w:right w:val="dotted" w:sz="4" w:space="0" w:color="auto"/>
            </w:tcBorders>
          </w:tcPr>
          <w:p w:rsidR="00EB5AE2" w:rsidRPr="00025B12" w:rsidRDefault="00EB5AE2"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EB5AE2" w:rsidRPr="00025B12" w:rsidRDefault="00665F1D" w:rsidP="00D131AA">
            <w:pPr>
              <w:spacing w:after="0" w:line="240" w:lineRule="auto"/>
              <w:jc w:val="center"/>
              <w:rPr>
                <w:rFonts w:ascii="Verdana" w:eastAsiaTheme="minorHAnsi" w:hAnsi="Verdana" w:cstheme="minorBidi"/>
                <w:sz w:val="18"/>
                <w:szCs w:val="18"/>
              </w:rPr>
            </w:pPr>
            <w:hyperlink w:anchor="LCS" w:history="1">
              <w:r w:rsidR="00EB5AE2" w:rsidRPr="00025B12">
                <w:rPr>
                  <w:rStyle w:val="Hypertextovodkaz"/>
                  <w:rFonts w:ascii="Verdana" w:eastAsiaTheme="minorHAnsi" w:hAnsi="Verdana" w:cstheme="minorBidi"/>
                  <w:sz w:val="18"/>
                  <w:szCs w:val="18"/>
                </w:rPr>
                <w:t>UNP 4-01</w:t>
              </w:r>
            </w:hyperlink>
          </w:p>
        </w:tc>
        <w:tc>
          <w:tcPr>
            <w:tcW w:w="2303" w:type="dxa"/>
            <w:tcBorders>
              <w:top w:val="dotted" w:sz="4" w:space="0" w:color="auto"/>
              <w:left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2003</w:t>
            </w:r>
          </w:p>
        </w:tc>
      </w:tr>
      <w:tr w:rsidR="00EB5AE2" w:rsidRPr="00025B12" w:rsidTr="00D131AA">
        <w:trPr>
          <w:trHeight w:val="274"/>
        </w:trPr>
        <w:tc>
          <w:tcPr>
            <w:tcW w:w="7539" w:type="dxa"/>
            <w:gridSpan w:val="4"/>
            <w:shd w:val="clear" w:color="auto" w:fill="663399"/>
          </w:tcPr>
          <w:p w:rsidR="00EB5AE2" w:rsidRPr="00025B12" w:rsidRDefault="00EB5AE2" w:rsidP="00D131AA">
            <w:pPr>
              <w:spacing w:after="0" w:line="240" w:lineRule="auto"/>
              <w:jc w:val="center"/>
              <w:rPr>
                <w:rFonts w:ascii="Verdana" w:eastAsiaTheme="minorHAnsi" w:hAnsi="Verdana" w:cstheme="minorBidi"/>
                <w:sz w:val="18"/>
                <w:szCs w:val="18"/>
              </w:rPr>
            </w:pPr>
          </w:p>
        </w:tc>
        <w:tc>
          <w:tcPr>
            <w:tcW w:w="1749" w:type="dxa"/>
            <w:shd w:val="clear" w:color="auto" w:fill="663399"/>
          </w:tcPr>
          <w:p w:rsidR="00EB5AE2" w:rsidRPr="00025B12" w:rsidRDefault="00EB5AE2" w:rsidP="00D131AA">
            <w:pPr>
              <w:spacing w:after="0" w:line="240" w:lineRule="auto"/>
              <w:jc w:val="center"/>
              <w:rPr>
                <w:rFonts w:ascii="Verdana" w:eastAsiaTheme="minorHAnsi" w:hAnsi="Verdana" w:cstheme="minorBidi"/>
                <w:sz w:val="18"/>
                <w:szCs w:val="18"/>
              </w:rPr>
            </w:pPr>
          </w:p>
        </w:tc>
      </w:tr>
      <w:tr w:rsidR="00EB5AE2" w:rsidRPr="00025B12" w:rsidTr="00D131AA">
        <w:trPr>
          <w:trHeight w:val="1319"/>
        </w:trPr>
        <w:tc>
          <w:tcPr>
            <w:tcW w:w="9288" w:type="dxa"/>
            <w:gridSpan w:val="5"/>
          </w:tcPr>
          <w:p w:rsidR="00EB5AE2" w:rsidRPr="00025B12" w:rsidRDefault="00EB5AE2"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EB5AE2" w:rsidRPr="00025B12" w:rsidRDefault="003557B7" w:rsidP="00D131AA">
            <w:pPr>
              <w:jc w:val="both"/>
              <w:rPr>
                <w:rFonts w:ascii="Verdana" w:hAnsi="Verdana"/>
                <w:sz w:val="18"/>
                <w:szCs w:val="18"/>
              </w:rPr>
            </w:pPr>
            <w:r w:rsidRPr="00025B12">
              <w:rPr>
                <w:rFonts w:ascii="Verdana" w:hAnsi="Verdana"/>
                <w:sz w:val="18"/>
                <w:szCs w:val="18"/>
              </w:rPr>
              <w:t>Podíl nákladů na</w:t>
            </w:r>
            <w:r w:rsidR="00EB5AE2" w:rsidRPr="00025B12">
              <w:rPr>
                <w:rFonts w:ascii="Verdana" w:hAnsi="Verdana"/>
                <w:sz w:val="18"/>
                <w:szCs w:val="18"/>
              </w:rPr>
              <w:t xml:space="preserve"> školení na celkových nákladech práce vypovídá o míře investic podniků do rozvoje lidských zdrojů.</w:t>
            </w:r>
          </w:p>
        </w:tc>
      </w:tr>
      <w:tr w:rsidR="00EB5AE2" w:rsidRPr="00025B12" w:rsidTr="00D131AA">
        <w:trPr>
          <w:trHeight w:val="1485"/>
        </w:trPr>
        <w:tc>
          <w:tcPr>
            <w:tcW w:w="9288" w:type="dxa"/>
            <w:gridSpan w:val="5"/>
          </w:tcPr>
          <w:p w:rsidR="00EB5AE2" w:rsidRPr="00025B12" w:rsidRDefault="00EB5AE2"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EB5AE2" w:rsidRPr="00025B12" w:rsidRDefault="00EB5AE2" w:rsidP="005D43AE">
            <w:pPr>
              <w:jc w:val="both"/>
              <w:rPr>
                <w:rFonts w:ascii="Verdana" w:hAnsi="Verdana"/>
                <w:sz w:val="18"/>
                <w:szCs w:val="18"/>
              </w:rPr>
            </w:pPr>
            <w:r w:rsidRPr="00025B12">
              <w:rPr>
                <w:rFonts w:ascii="Verdana" w:hAnsi="Verdana"/>
                <w:sz w:val="18"/>
                <w:szCs w:val="18"/>
              </w:rPr>
              <w:t xml:space="preserve">Indikátor je vypočten jako objem finančních prostředků na </w:t>
            </w:r>
            <w:r w:rsidR="005D43AE" w:rsidRPr="00025B12">
              <w:rPr>
                <w:rFonts w:ascii="Verdana" w:hAnsi="Verdana"/>
                <w:sz w:val="18"/>
                <w:szCs w:val="18"/>
              </w:rPr>
              <w:t>další vzdělávání</w:t>
            </w:r>
            <w:r w:rsidRPr="00025B12">
              <w:rPr>
                <w:rFonts w:ascii="Verdana" w:hAnsi="Verdana"/>
                <w:sz w:val="18"/>
                <w:szCs w:val="18"/>
              </w:rPr>
              <w:t xml:space="preserve"> zaměstnanců dělený celkovým objemem nákladů práce v daném roce. Zahrnuje pouze přímé náklady na</w:t>
            </w:r>
            <w:r w:rsidR="00F54AB4" w:rsidRPr="00025B12">
              <w:rPr>
                <w:rFonts w:ascii="Verdana" w:hAnsi="Verdana"/>
                <w:sz w:val="18"/>
                <w:szCs w:val="18"/>
              </w:rPr>
              <w:t xml:space="preserve"> </w:t>
            </w:r>
            <w:r w:rsidR="0099015F" w:rsidRPr="00025B12">
              <w:rPr>
                <w:rFonts w:ascii="Verdana" w:hAnsi="Verdana"/>
                <w:sz w:val="18"/>
                <w:szCs w:val="18"/>
              </w:rPr>
              <w:t>vzdělávání</w:t>
            </w:r>
            <w:r w:rsidR="00F54AB4" w:rsidRPr="00025B12">
              <w:rPr>
                <w:rFonts w:ascii="Verdana" w:hAnsi="Verdana"/>
                <w:sz w:val="18"/>
                <w:szCs w:val="18"/>
              </w:rPr>
              <w:t>, nikoli mzdové náklady účastníků</w:t>
            </w:r>
            <w:r w:rsidRPr="00025B12">
              <w:rPr>
                <w:rFonts w:ascii="Verdana" w:hAnsi="Verdana"/>
                <w:sz w:val="18"/>
                <w:szCs w:val="18"/>
              </w:rPr>
              <w:t xml:space="preserve">. </w:t>
            </w:r>
            <w:r w:rsidR="0099015F" w:rsidRPr="00025B12">
              <w:rPr>
                <w:rFonts w:ascii="Verdana" w:hAnsi="Verdana"/>
                <w:sz w:val="18"/>
                <w:szCs w:val="18"/>
              </w:rPr>
              <w:t>Zahr</w:t>
            </w:r>
            <w:r w:rsidR="00F54AB4" w:rsidRPr="00025B12">
              <w:rPr>
                <w:rFonts w:ascii="Verdana" w:hAnsi="Verdana"/>
                <w:sz w:val="18"/>
                <w:szCs w:val="18"/>
              </w:rPr>
              <w:t>n</w:t>
            </w:r>
            <w:r w:rsidR="0099015F" w:rsidRPr="00025B12">
              <w:rPr>
                <w:rFonts w:ascii="Verdana" w:hAnsi="Verdana"/>
                <w:sz w:val="18"/>
                <w:szCs w:val="18"/>
              </w:rPr>
              <w:t>u</w:t>
            </w:r>
            <w:r w:rsidR="00F54AB4" w:rsidRPr="00025B12">
              <w:rPr>
                <w:rFonts w:ascii="Verdana" w:hAnsi="Verdana"/>
                <w:sz w:val="18"/>
                <w:szCs w:val="18"/>
              </w:rPr>
              <w:t>je zejména náklady na odborné výcvikové služby a zařízení, výdaje na účast v kurzech, poplatky za mimopodnikové instruktory, výdaje za vyučovací pomůcky a nástroje používané při školení, částky vyplacené zařízením provádějícím odborná školení apod</w:t>
            </w:r>
            <w:r w:rsidR="00304766" w:rsidRPr="00025B12">
              <w:rPr>
                <w:rFonts w:ascii="Verdana" w:hAnsi="Verdana"/>
                <w:sz w:val="18"/>
                <w:szCs w:val="18"/>
              </w:rPr>
              <w:t>.</w:t>
            </w:r>
            <w:r w:rsidR="00F54AB4" w:rsidRPr="00025B12">
              <w:rPr>
                <w:rFonts w:ascii="Verdana" w:hAnsi="Verdana"/>
                <w:sz w:val="18"/>
                <w:szCs w:val="18"/>
              </w:rPr>
              <w:t xml:space="preserve"> Tyto náklady se však týkají nejen kurzů, ale i ostatních forem vzdělávání zaměstnanců, a jsou proto vyšší než přímé náklady zjišťované v rámci CVTS</w:t>
            </w:r>
            <w:r w:rsidR="00304766" w:rsidRPr="00025B12">
              <w:rPr>
                <w:rFonts w:ascii="Verdana" w:hAnsi="Verdana"/>
                <w:sz w:val="18"/>
                <w:szCs w:val="18"/>
              </w:rPr>
              <w:t xml:space="preserve"> (viz indikátor II.2.d1)</w:t>
            </w:r>
            <w:r w:rsidR="00F54AB4" w:rsidRPr="00025B12">
              <w:rPr>
                <w:rFonts w:ascii="Verdana" w:hAnsi="Verdana"/>
                <w:sz w:val="18"/>
                <w:szCs w:val="18"/>
              </w:rPr>
              <w:t>.</w:t>
            </w:r>
          </w:p>
        </w:tc>
      </w:tr>
      <w:tr w:rsidR="00EB5AE2" w:rsidRPr="00025B12" w:rsidTr="00D131AA">
        <w:trPr>
          <w:trHeight w:val="1392"/>
        </w:trPr>
        <w:tc>
          <w:tcPr>
            <w:tcW w:w="9288" w:type="dxa"/>
            <w:gridSpan w:val="5"/>
          </w:tcPr>
          <w:p w:rsidR="00EB5AE2" w:rsidRPr="00025B12" w:rsidRDefault="00EB5AE2"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EB5AE2" w:rsidRPr="00025B12" w:rsidRDefault="00EB5AE2" w:rsidP="00D131AA">
            <w:pPr>
              <w:jc w:val="both"/>
              <w:rPr>
                <w:rFonts w:ascii="Verdana" w:hAnsi="Verdana"/>
                <w:sz w:val="18"/>
                <w:szCs w:val="18"/>
              </w:rPr>
            </w:pPr>
            <w:r w:rsidRPr="00025B12">
              <w:rPr>
                <w:rFonts w:ascii="Verdana" w:hAnsi="Verdana"/>
                <w:sz w:val="18"/>
                <w:szCs w:val="18"/>
              </w:rPr>
              <w:t xml:space="preserve">Indikátor je pro mezinárodní srovnání v plném rozsahu přebírán z webových stránek Eurostatu, pro regionální srovnání je dopočten z údajů publikovaných ČSÚ. Regionálně jsou však podniky zařazeny pod kraj, ve kterém sídlí jeho ústředí. </w:t>
            </w:r>
          </w:p>
        </w:tc>
      </w:tr>
      <w:tr w:rsidR="00EB5AE2" w:rsidRPr="00025B12" w:rsidTr="00D131AA">
        <w:trPr>
          <w:trHeight w:val="837"/>
        </w:trPr>
        <w:tc>
          <w:tcPr>
            <w:tcW w:w="9288" w:type="dxa"/>
            <w:gridSpan w:val="5"/>
          </w:tcPr>
          <w:p w:rsidR="00EB5AE2" w:rsidRPr="00025B12" w:rsidRDefault="00EB5AE2"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EB5AE2" w:rsidRPr="00025B12" w:rsidRDefault="00EB5AE2" w:rsidP="00D131AA">
            <w:pPr>
              <w:jc w:val="both"/>
              <w:rPr>
                <w:rFonts w:ascii="Verdana" w:hAnsi="Verdana"/>
                <w:sz w:val="18"/>
                <w:szCs w:val="18"/>
              </w:rPr>
            </w:pPr>
            <w:r w:rsidRPr="00025B12">
              <w:rPr>
                <w:rFonts w:ascii="Verdana" w:hAnsi="Verdana"/>
                <w:sz w:val="18"/>
                <w:szCs w:val="18"/>
              </w:rPr>
              <w:t>Indikátor pro ČR vychází z výkazu Úplné náklady práce (ÚNP-04), který je sbírán každoročně a jsou za něj publikována i regionální data. Jednou za čtyři roky jsou data předávána do Eurostatu jako datový vstup pro mezinárodní srovnání.</w:t>
            </w:r>
          </w:p>
        </w:tc>
      </w:tr>
    </w:tbl>
    <w:p w:rsidR="00EB5AE2" w:rsidRPr="00025B12" w:rsidRDefault="00EB5AE2" w:rsidP="0017374A">
      <w:pPr>
        <w:rPr>
          <w:rFonts w:ascii="Verdana" w:hAnsi="Verdana"/>
          <w:b/>
          <w:sz w:val="24"/>
          <w:szCs w:val="24"/>
        </w:rPr>
      </w:pPr>
    </w:p>
    <w:p w:rsidR="00EB5AE2" w:rsidRPr="00025B12" w:rsidRDefault="00EB5AE2" w:rsidP="0017374A">
      <w:pPr>
        <w:rPr>
          <w:rFonts w:ascii="Verdana" w:hAnsi="Verdana"/>
          <w:b/>
          <w:sz w:val="24"/>
          <w:szCs w:val="24"/>
        </w:rPr>
      </w:pPr>
      <w:r w:rsidRPr="00025B12">
        <w:rPr>
          <w:rFonts w:ascii="Verdana" w:hAnsi="Verdana"/>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9"/>
        <w:gridCol w:w="1618"/>
        <w:gridCol w:w="2268"/>
        <w:gridCol w:w="2089"/>
        <w:gridCol w:w="1884"/>
      </w:tblGrid>
      <w:tr w:rsidR="00EB5AE2" w:rsidRPr="00025B12" w:rsidTr="00D131AA">
        <w:trPr>
          <w:trHeight w:val="425"/>
        </w:trPr>
        <w:tc>
          <w:tcPr>
            <w:tcW w:w="1452" w:type="dxa"/>
            <w:tcBorders>
              <w:bottom w:val="single" w:sz="4" w:space="0" w:color="auto"/>
              <w:right w:val="single" w:sz="4" w:space="0" w:color="auto"/>
            </w:tcBorders>
            <w:shd w:val="clear" w:color="auto" w:fill="663399"/>
            <w:vAlign w:val="center"/>
          </w:tcPr>
          <w:p w:rsidR="00EB5AE2" w:rsidRPr="00025B12" w:rsidRDefault="00EB5AE2" w:rsidP="00D131AA">
            <w:pPr>
              <w:pStyle w:val="Kd"/>
              <w:rPr>
                <w:sz w:val="18"/>
                <w:szCs w:val="18"/>
              </w:rPr>
            </w:pPr>
            <w:r w:rsidRPr="00025B12">
              <w:rPr>
                <w:sz w:val="18"/>
                <w:szCs w:val="18"/>
              </w:rPr>
              <w:br w:type="page"/>
            </w:r>
            <w:r w:rsidRPr="00025B12">
              <w:rPr>
                <w:sz w:val="18"/>
                <w:szCs w:val="18"/>
              </w:rPr>
              <w:br w:type="page"/>
            </w:r>
            <w:bookmarkStart w:id="72" w:name="II23"/>
            <w:r w:rsidRPr="00025B12">
              <w:rPr>
                <w:sz w:val="18"/>
                <w:szCs w:val="18"/>
              </w:rPr>
              <w:t>II.2.</w:t>
            </w:r>
            <w:bookmarkEnd w:id="72"/>
            <w:r w:rsidRPr="00025B12">
              <w:rPr>
                <w:sz w:val="18"/>
                <w:szCs w:val="18"/>
              </w:rPr>
              <w:t>2</w:t>
            </w:r>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EB5AE2" w:rsidRPr="00025B12" w:rsidRDefault="00EB5AE2" w:rsidP="002275FC">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 xml:space="preserve">Náklady na </w:t>
            </w:r>
            <w:r w:rsidR="002275FC" w:rsidRPr="00025B12">
              <w:rPr>
                <w:rFonts w:ascii="Verdana" w:eastAsiaTheme="minorHAnsi" w:hAnsi="Verdana" w:cstheme="minorBidi"/>
                <w:b/>
                <w:color w:val="FFFFFF" w:themeColor="background1"/>
              </w:rPr>
              <w:t>další vzdělávání</w:t>
            </w:r>
            <w:r w:rsidRPr="00025B12">
              <w:rPr>
                <w:rFonts w:ascii="Verdana" w:eastAsiaTheme="minorHAnsi" w:hAnsi="Verdana" w:cstheme="minorBidi"/>
                <w:b/>
                <w:color w:val="FFFFFF" w:themeColor="background1"/>
              </w:rPr>
              <w:t xml:space="preserve"> v přepočtu na zaměstnanou osobu</w:t>
            </w:r>
          </w:p>
        </w:tc>
      </w:tr>
      <w:tr w:rsidR="00EB5AE2" w:rsidRPr="00025B12" w:rsidTr="00D131AA">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EB5AE2" w:rsidRPr="00025B12" w:rsidRDefault="00EB5AE2"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36" w:type="dxa"/>
            <w:gridSpan w:val="4"/>
            <w:vMerge/>
            <w:tcBorders>
              <w:left w:val="single" w:sz="4" w:space="0" w:color="auto"/>
              <w:bottom w:val="single" w:sz="4" w:space="0" w:color="auto"/>
              <w:right w:val="single"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p>
        </w:tc>
      </w:tr>
      <w:tr w:rsidR="00EB5AE2" w:rsidRPr="00025B12" w:rsidTr="00296FE3">
        <w:trPr>
          <w:trHeight w:val="360"/>
        </w:trPr>
        <w:tc>
          <w:tcPr>
            <w:tcW w:w="1452" w:type="dxa"/>
            <w:tcBorders>
              <w:top w:val="single" w:sz="4" w:space="0" w:color="auto"/>
              <w:bottom w:val="dotted" w:sz="4" w:space="0" w:color="auto"/>
              <w:right w:val="dotted" w:sz="4" w:space="0" w:color="auto"/>
            </w:tcBorders>
          </w:tcPr>
          <w:p w:rsidR="00EB5AE2" w:rsidRPr="00025B12" w:rsidRDefault="00EB5AE2" w:rsidP="00D131AA">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EB5AE2" w:rsidRPr="00025B12" w:rsidRDefault="00EB5AE2"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EB5AE2" w:rsidRPr="00025B12" w:rsidTr="00D131AA">
        <w:trPr>
          <w:trHeight w:val="360"/>
        </w:trPr>
        <w:tc>
          <w:tcPr>
            <w:tcW w:w="1452" w:type="dxa"/>
            <w:tcBorders>
              <w:top w:val="dotted" w:sz="4" w:space="0" w:color="auto"/>
              <w:bottom w:val="dotted" w:sz="4" w:space="0" w:color="auto"/>
              <w:right w:val="dotted" w:sz="4" w:space="0" w:color="auto"/>
            </w:tcBorders>
          </w:tcPr>
          <w:p w:rsidR="00EB5AE2" w:rsidRPr="00025B12" w:rsidRDefault="00EB5AE2"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EB5AE2" w:rsidRPr="00025B12" w:rsidRDefault="00665F1D" w:rsidP="00D131AA">
            <w:pPr>
              <w:spacing w:after="0" w:line="240" w:lineRule="auto"/>
              <w:jc w:val="center"/>
              <w:rPr>
                <w:rFonts w:ascii="Verdana" w:eastAsiaTheme="minorHAnsi" w:hAnsi="Verdana" w:cstheme="minorBidi"/>
                <w:sz w:val="18"/>
                <w:szCs w:val="18"/>
              </w:rPr>
            </w:pPr>
            <w:hyperlink w:anchor="CVTS" w:history="1">
              <w:r w:rsidR="00EB5AE2" w:rsidRPr="00025B12">
                <w:rPr>
                  <w:rStyle w:val="Hypertextovodkaz"/>
                  <w:rFonts w:ascii="Verdana" w:eastAsiaTheme="minorHAnsi" w:hAnsi="Verdana" w:cstheme="minorBidi"/>
                  <w:sz w:val="18"/>
                  <w:szCs w:val="18"/>
                </w:rPr>
                <w:t>CVTS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26" w:type="dxa"/>
            <w:tcBorders>
              <w:top w:val="dotted"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bottom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EB5AE2" w:rsidRPr="00025B12" w:rsidTr="00D131AA">
        <w:trPr>
          <w:trHeight w:val="360"/>
        </w:trPr>
        <w:tc>
          <w:tcPr>
            <w:tcW w:w="1452" w:type="dxa"/>
            <w:tcBorders>
              <w:top w:val="dotted" w:sz="4" w:space="0" w:color="auto"/>
              <w:bottom w:val="dotted" w:sz="4" w:space="0" w:color="auto"/>
              <w:right w:val="dotted" w:sz="4" w:space="0" w:color="auto"/>
            </w:tcBorders>
          </w:tcPr>
          <w:p w:rsidR="00EB5AE2" w:rsidRPr="00025B12" w:rsidRDefault="00EB5AE2"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EB5AE2" w:rsidRPr="00025B12" w:rsidRDefault="00665F1D" w:rsidP="00D131AA">
            <w:pPr>
              <w:spacing w:after="0" w:line="240" w:lineRule="auto"/>
              <w:jc w:val="center"/>
              <w:rPr>
                <w:rFonts w:ascii="Verdana" w:eastAsiaTheme="minorHAnsi" w:hAnsi="Verdana" w:cstheme="minorBidi"/>
                <w:sz w:val="18"/>
                <w:szCs w:val="18"/>
              </w:rPr>
            </w:pPr>
            <w:hyperlink w:anchor="LCS" w:history="1">
              <w:r w:rsidR="00EB5AE2" w:rsidRPr="00025B12">
                <w:rPr>
                  <w:rStyle w:val="Hypertextovodkaz"/>
                  <w:rFonts w:ascii="Verdana" w:eastAsiaTheme="minorHAnsi" w:hAnsi="Verdana" w:cstheme="minorBidi"/>
                  <w:sz w:val="18"/>
                  <w:szCs w:val="18"/>
                </w:rPr>
                <w:t>UNP 4-01</w:t>
              </w:r>
            </w:hyperlink>
          </w:p>
        </w:tc>
        <w:tc>
          <w:tcPr>
            <w:tcW w:w="2303" w:type="dxa"/>
            <w:tcBorders>
              <w:top w:val="dotted"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bottom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bottom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2003</w:t>
            </w:r>
          </w:p>
        </w:tc>
      </w:tr>
      <w:tr w:rsidR="00EB5AE2" w:rsidRPr="00025B12" w:rsidTr="00D131AA">
        <w:trPr>
          <w:trHeight w:val="360"/>
        </w:trPr>
        <w:tc>
          <w:tcPr>
            <w:tcW w:w="1452" w:type="dxa"/>
            <w:tcBorders>
              <w:top w:val="dotted" w:sz="4" w:space="0" w:color="auto"/>
              <w:right w:val="dotted" w:sz="4" w:space="0" w:color="auto"/>
            </w:tcBorders>
          </w:tcPr>
          <w:p w:rsidR="00EB5AE2" w:rsidRPr="00025B12" w:rsidRDefault="00EB5AE2"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EB5AE2" w:rsidRPr="00025B12" w:rsidRDefault="00665F1D" w:rsidP="00D131AA">
            <w:pPr>
              <w:spacing w:after="0" w:line="240" w:lineRule="auto"/>
              <w:jc w:val="center"/>
              <w:rPr>
                <w:rFonts w:ascii="Verdana" w:eastAsiaTheme="minorHAnsi" w:hAnsi="Verdana" w:cstheme="minorBidi"/>
                <w:sz w:val="18"/>
                <w:szCs w:val="18"/>
              </w:rPr>
            </w:pPr>
            <w:hyperlink w:anchor="LCS" w:history="1">
              <w:r w:rsidR="00EB5AE2" w:rsidRPr="00025B12">
                <w:rPr>
                  <w:rStyle w:val="Hypertextovodkaz"/>
                  <w:rFonts w:ascii="Verdana" w:eastAsiaTheme="minorHAnsi" w:hAnsi="Verdana" w:cstheme="minorBidi"/>
                  <w:sz w:val="18"/>
                  <w:szCs w:val="18"/>
                </w:rPr>
                <w:t>UNP 4-01</w:t>
              </w:r>
            </w:hyperlink>
          </w:p>
        </w:tc>
        <w:tc>
          <w:tcPr>
            <w:tcW w:w="2303" w:type="dxa"/>
            <w:tcBorders>
              <w:top w:val="dotted" w:sz="4" w:space="0" w:color="auto"/>
              <w:left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righ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tcBorders>
            <w:vAlign w:val="center"/>
          </w:tcPr>
          <w:p w:rsidR="00EB5AE2" w:rsidRPr="00025B12" w:rsidRDefault="00EB5AE2"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2003</w:t>
            </w:r>
          </w:p>
        </w:tc>
      </w:tr>
      <w:tr w:rsidR="00EB5AE2" w:rsidRPr="00025B12" w:rsidTr="00D131AA">
        <w:trPr>
          <w:trHeight w:val="274"/>
        </w:trPr>
        <w:tc>
          <w:tcPr>
            <w:tcW w:w="7539" w:type="dxa"/>
            <w:gridSpan w:val="4"/>
            <w:shd w:val="clear" w:color="auto" w:fill="663399"/>
          </w:tcPr>
          <w:p w:rsidR="00EB5AE2" w:rsidRPr="00025B12" w:rsidRDefault="00EB5AE2" w:rsidP="00D131AA">
            <w:pPr>
              <w:spacing w:after="0" w:line="240" w:lineRule="auto"/>
              <w:jc w:val="center"/>
              <w:rPr>
                <w:rFonts w:ascii="Verdana" w:eastAsiaTheme="minorHAnsi" w:hAnsi="Verdana" w:cstheme="minorBidi"/>
                <w:sz w:val="18"/>
                <w:szCs w:val="18"/>
              </w:rPr>
            </w:pPr>
          </w:p>
        </w:tc>
        <w:tc>
          <w:tcPr>
            <w:tcW w:w="1749" w:type="dxa"/>
            <w:shd w:val="clear" w:color="auto" w:fill="663399"/>
          </w:tcPr>
          <w:p w:rsidR="00EB5AE2" w:rsidRPr="00025B12" w:rsidRDefault="00EB5AE2" w:rsidP="00D131AA">
            <w:pPr>
              <w:spacing w:after="0" w:line="240" w:lineRule="auto"/>
              <w:jc w:val="center"/>
              <w:rPr>
                <w:rFonts w:ascii="Verdana" w:eastAsiaTheme="minorHAnsi" w:hAnsi="Verdana" w:cstheme="minorBidi"/>
                <w:sz w:val="18"/>
                <w:szCs w:val="18"/>
              </w:rPr>
            </w:pPr>
          </w:p>
        </w:tc>
      </w:tr>
      <w:tr w:rsidR="00EB5AE2" w:rsidRPr="00025B12" w:rsidTr="00D131AA">
        <w:trPr>
          <w:trHeight w:val="1319"/>
        </w:trPr>
        <w:tc>
          <w:tcPr>
            <w:tcW w:w="9288" w:type="dxa"/>
            <w:gridSpan w:val="5"/>
          </w:tcPr>
          <w:p w:rsidR="00EB5AE2" w:rsidRPr="00025B12" w:rsidRDefault="00EB5AE2"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EB5AE2" w:rsidRPr="00025B12" w:rsidRDefault="00EB5AE2" w:rsidP="00304766">
            <w:pPr>
              <w:jc w:val="both"/>
              <w:rPr>
                <w:rFonts w:ascii="Verdana" w:hAnsi="Verdana"/>
                <w:sz w:val="18"/>
                <w:szCs w:val="18"/>
              </w:rPr>
            </w:pPr>
            <w:r w:rsidRPr="00025B12">
              <w:rPr>
                <w:rFonts w:ascii="Verdana" w:hAnsi="Verdana"/>
                <w:sz w:val="18"/>
                <w:szCs w:val="18"/>
              </w:rPr>
              <w:t xml:space="preserve">Indikátor obdobně jako </w:t>
            </w:r>
            <w:r w:rsidR="00304766" w:rsidRPr="00025B12">
              <w:rPr>
                <w:rFonts w:ascii="Verdana" w:hAnsi="Verdana"/>
                <w:sz w:val="18"/>
                <w:szCs w:val="18"/>
              </w:rPr>
              <w:t>indikátor II.2.1</w:t>
            </w:r>
            <w:r w:rsidRPr="00025B12">
              <w:rPr>
                <w:rFonts w:ascii="Verdana" w:hAnsi="Verdana"/>
                <w:sz w:val="18"/>
                <w:szCs w:val="18"/>
              </w:rPr>
              <w:t xml:space="preserve"> vyčísluje míru investic podniků do rozvoje lidských zdrojů. Na rozdíl od indikátoru II.2.</w:t>
            </w:r>
            <w:r w:rsidR="00304766" w:rsidRPr="00025B12">
              <w:rPr>
                <w:rFonts w:ascii="Verdana" w:hAnsi="Verdana"/>
                <w:sz w:val="18"/>
                <w:szCs w:val="18"/>
              </w:rPr>
              <w:t>1</w:t>
            </w:r>
            <w:r w:rsidRPr="00025B12">
              <w:rPr>
                <w:rFonts w:ascii="Verdana" w:hAnsi="Verdana"/>
                <w:sz w:val="18"/>
                <w:szCs w:val="18"/>
              </w:rPr>
              <w:t xml:space="preserve"> ale poskytuje údaj v </w:t>
            </w:r>
            <w:r w:rsidR="00304766" w:rsidRPr="00025B12">
              <w:rPr>
                <w:rFonts w:ascii="Verdana" w:hAnsi="Verdana"/>
                <w:sz w:val="18"/>
                <w:szCs w:val="18"/>
              </w:rPr>
              <w:t>měně</w:t>
            </w:r>
            <w:r w:rsidRPr="00025B12">
              <w:rPr>
                <w:rFonts w:ascii="Verdana" w:hAnsi="Verdana"/>
                <w:sz w:val="18"/>
                <w:szCs w:val="18"/>
              </w:rPr>
              <w:t xml:space="preserve">, který podává názornější informaci o výši těchto investic. </w:t>
            </w:r>
          </w:p>
        </w:tc>
      </w:tr>
      <w:tr w:rsidR="00EB5AE2" w:rsidRPr="00025B12" w:rsidTr="00D131AA">
        <w:trPr>
          <w:trHeight w:val="1485"/>
        </w:trPr>
        <w:tc>
          <w:tcPr>
            <w:tcW w:w="9288" w:type="dxa"/>
            <w:gridSpan w:val="5"/>
          </w:tcPr>
          <w:p w:rsidR="00EB5AE2" w:rsidRPr="00025B12" w:rsidRDefault="00EB5AE2"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EB5AE2" w:rsidRPr="00025B12" w:rsidRDefault="00EB5AE2" w:rsidP="00D131AA">
            <w:pPr>
              <w:jc w:val="both"/>
              <w:rPr>
                <w:rFonts w:ascii="Verdana" w:hAnsi="Verdana"/>
                <w:sz w:val="18"/>
                <w:szCs w:val="18"/>
              </w:rPr>
            </w:pPr>
            <w:r w:rsidRPr="00025B12">
              <w:rPr>
                <w:rFonts w:ascii="Verdana" w:hAnsi="Verdana"/>
                <w:sz w:val="18"/>
                <w:szCs w:val="18"/>
              </w:rPr>
              <w:t>Z důvodu dostupnosti dat se indikátor liší v mezinárodním a regionálním srovnání.</w:t>
            </w:r>
          </w:p>
          <w:p w:rsidR="00EB5AE2" w:rsidRPr="00025B12" w:rsidRDefault="00EB5AE2" w:rsidP="00D131AA">
            <w:pPr>
              <w:jc w:val="both"/>
              <w:rPr>
                <w:rFonts w:ascii="Verdana" w:hAnsi="Verdana"/>
                <w:sz w:val="18"/>
                <w:szCs w:val="18"/>
              </w:rPr>
            </w:pPr>
            <w:r w:rsidRPr="00025B12">
              <w:rPr>
                <w:rFonts w:ascii="Verdana" w:hAnsi="Verdana"/>
                <w:sz w:val="18"/>
                <w:szCs w:val="18"/>
              </w:rPr>
              <w:t>V mezinárodním srovnání vychází indikátor z dat CVTS. Vztahuje se k nákladům na kurzy dalšího odborného vzdělávání za období 1 referenčního roku. Tyto náklady jsou vyděleny počtem zaměstnanců na konci daného referenčního roku. Pro mezinárodní srovnání jsou hodnoty přepočteny na standard kupní síly a jsou k dispozici v členění na přímé a nepřímé náklady.</w:t>
            </w:r>
          </w:p>
          <w:p w:rsidR="00EB5AE2" w:rsidRPr="00025B12" w:rsidRDefault="00EB5AE2" w:rsidP="00D131AA">
            <w:pPr>
              <w:jc w:val="both"/>
              <w:rPr>
                <w:rFonts w:ascii="Verdana" w:hAnsi="Verdana"/>
                <w:sz w:val="18"/>
                <w:szCs w:val="18"/>
              </w:rPr>
            </w:pPr>
            <w:r w:rsidRPr="00025B12">
              <w:rPr>
                <w:rFonts w:ascii="Verdana" w:hAnsi="Verdana"/>
                <w:sz w:val="18"/>
                <w:szCs w:val="18"/>
              </w:rPr>
              <w:t>Pro regionální srovnání nejsou data z CVTS k dispozici, využita jsou data z šetření úplných nákladů práce. Indikátor je vypočten jako podíl nákladů na školení zaměstnanců pro povolání (v Kč/měsíc) k počtu zaměstnanců přepočtených na plnou pracovní dobu.</w:t>
            </w:r>
          </w:p>
        </w:tc>
      </w:tr>
      <w:tr w:rsidR="00EB5AE2" w:rsidRPr="00025B12" w:rsidTr="00D131AA">
        <w:trPr>
          <w:trHeight w:val="1053"/>
        </w:trPr>
        <w:tc>
          <w:tcPr>
            <w:tcW w:w="9288" w:type="dxa"/>
            <w:gridSpan w:val="5"/>
          </w:tcPr>
          <w:p w:rsidR="00EB5AE2" w:rsidRPr="00025B12" w:rsidRDefault="00EB5AE2"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EB5AE2" w:rsidRPr="00025B12" w:rsidRDefault="00EB5AE2" w:rsidP="00D131AA">
            <w:pPr>
              <w:jc w:val="both"/>
              <w:rPr>
                <w:rFonts w:ascii="Verdana" w:hAnsi="Verdana"/>
                <w:sz w:val="18"/>
                <w:szCs w:val="18"/>
              </w:rPr>
            </w:pPr>
            <w:r w:rsidRPr="00025B12">
              <w:rPr>
                <w:rFonts w:ascii="Verdana" w:hAnsi="Verdana"/>
                <w:sz w:val="18"/>
                <w:szCs w:val="18"/>
              </w:rPr>
              <w:t>Indikátor pro regionální srovnání je přebírán z publikací ČSÚ, v mezinárodním srovnání z databáze Eurostatu.</w:t>
            </w:r>
          </w:p>
        </w:tc>
      </w:tr>
      <w:tr w:rsidR="00EB5AE2" w:rsidRPr="00025B12" w:rsidTr="00D131AA">
        <w:trPr>
          <w:trHeight w:val="837"/>
        </w:trPr>
        <w:tc>
          <w:tcPr>
            <w:tcW w:w="9288" w:type="dxa"/>
            <w:gridSpan w:val="5"/>
          </w:tcPr>
          <w:p w:rsidR="00EB5AE2" w:rsidRPr="00025B12" w:rsidRDefault="00EB5AE2"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EB5AE2" w:rsidRPr="00025B12" w:rsidRDefault="00EB5AE2" w:rsidP="00D131AA">
            <w:pPr>
              <w:jc w:val="both"/>
              <w:rPr>
                <w:rFonts w:ascii="Verdana" w:hAnsi="Verdana"/>
                <w:sz w:val="18"/>
                <w:szCs w:val="18"/>
              </w:rPr>
            </w:pPr>
            <w:r w:rsidRPr="00025B12">
              <w:rPr>
                <w:rFonts w:ascii="Verdana" w:hAnsi="Verdana"/>
                <w:sz w:val="18"/>
                <w:szCs w:val="18"/>
              </w:rPr>
              <w:t>Regionální srovnání – u všech podnikových šetření problém příslušnosti podniku do regionu, kde má sídlo.</w:t>
            </w:r>
          </w:p>
        </w:tc>
      </w:tr>
    </w:tbl>
    <w:p w:rsidR="00822069" w:rsidRPr="00025B12" w:rsidRDefault="00EB5AE2" w:rsidP="00822069">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822069" w:rsidRPr="00025B12" w:rsidTr="00672756">
        <w:trPr>
          <w:trHeight w:val="425"/>
        </w:trPr>
        <w:tc>
          <w:tcPr>
            <w:tcW w:w="1417" w:type="dxa"/>
            <w:tcBorders>
              <w:bottom w:val="single" w:sz="4" w:space="0" w:color="auto"/>
              <w:right w:val="single" w:sz="4" w:space="0" w:color="auto"/>
            </w:tcBorders>
            <w:shd w:val="clear" w:color="auto" w:fill="663399"/>
            <w:vAlign w:val="center"/>
          </w:tcPr>
          <w:p w:rsidR="00822069" w:rsidRPr="00025B12" w:rsidRDefault="00822069" w:rsidP="00A9209D">
            <w:pPr>
              <w:pStyle w:val="Kd"/>
              <w:rPr>
                <w:sz w:val="18"/>
                <w:szCs w:val="18"/>
              </w:rPr>
            </w:pPr>
            <w:r w:rsidRPr="00025B12">
              <w:rPr>
                <w:sz w:val="18"/>
                <w:szCs w:val="18"/>
              </w:rPr>
              <w:br w:type="page"/>
            </w:r>
            <w:r w:rsidRPr="00025B12">
              <w:rPr>
                <w:sz w:val="18"/>
                <w:szCs w:val="18"/>
              </w:rPr>
              <w:br w:type="page"/>
            </w:r>
            <w:bookmarkStart w:id="73" w:name="II21"/>
            <w:r w:rsidRPr="00025B12">
              <w:rPr>
                <w:sz w:val="18"/>
                <w:szCs w:val="18"/>
              </w:rPr>
              <w:t>II.2.</w:t>
            </w:r>
            <w:r w:rsidR="008D36D8" w:rsidRPr="00025B12">
              <w:rPr>
                <w:sz w:val="18"/>
                <w:szCs w:val="18"/>
              </w:rPr>
              <w:t>d</w:t>
            </w:r>
            <w:r w:rsidRPr="00025B12">
              <w:rPr>
                <w:sz w:val="18"/>
                <w:szCs w:val="18"/>
              </w:rPr>
              <w:t>1</w:t>
            </w:r>
            <w:bookmarkEnd w:id="73"/>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822069" w:rsidRPr="00025B12" w:rsidRDefault="00822069" w:rsidP="002275FC">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 xml:space="preserve">Podíl nákladů na kurzy </w:t>
            </w:r>
            <w:r w:rsidR="002275FC" w:rsidRPr="00025B12">
              <w:rPr>
                <w:rFonts w:ascii="Verdana" w:eastAsiaTheme="minorHAnsi" w:hAnsi="Verdana" w:cstheme="minorBidi"/>
                <w:b/>
                <w:color w:val="FFFFFF" w:themeColor="background1"/>
              </w:rPr>
              <w:t>dalšího vzdělávání</w:t>
            </w:r>
            <w:r w:rsidRPr="00025B12">
              <w:rPr>
                <w:rFonts w:ascii="Verdana" w:eastAsiaTheme="minorHAnsi" w:hAnsi="Verdana" w:cstheme="minorBidi"/>
                <w:b/>
                <w:color w:val="FFFFFF" w:themeColor="background1"/>
              </w:rPr>
              <w:t xml:space="preserve"> na celkových nákladech práce</w:t>
            </w:r>
          </w:p>
        </w:tc>
      </w:tr>
      <w:tr w:rsidR="00822069" w:rsidRPr="00025B12" w:rsidTr="00672756">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822069" w:rsidRPr="00025B12" w:rsidRDefault="00DD020F"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71" w:type="dxa"/>
            <w:gridSpan w:val="4"/>
            <w:vMerge/>
            <w:tcBorders>
              <w:left w:val="single" w:sz="4" w:space="0" w:color="auto"/>
              <w:bottom w:val="single" w:sz="4" w:space="0" w:color="auto"/>
              <w:right w:val="single"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p>
        </w:tc>
      </w:tr>
      <w:tr w:rsidR="00822069" w:rsidRPr="00025B12" w:rsidTr="00296FE3">
        <w:trPr>
          <w:trHeight w:val="360"/>
        </w:trPr>
        <w:tc>
          <w:tcPr>
            <w:tcW w:w="1417" w:type="dxa"/>
            <w:tcBorders>
              <w:top w:val="single" w:sz="4" w:space="0" w:color="auto"/>
              <w:bottom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822069" w:rsidRPr="00025B12" w:rsidRDefault="00822069"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822069" w:rsidRPr="00025B12" w:rsidTr="00672756">
        <w:trPr>
          <w:trHeight w:val="360"/>
        </w:trPr>
        <w:tc>
          <w:tcPr>
            <w:tcW w:w="1417" w:type="dxa"/>
            <w:tcBorders>
              <w:top w:val="dotted" w:sz="4" w:space="0" w:color="auto"/>
              <w:bottom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822069" w:rsidRPr="00025B12" w:rsidRDefault="00665F1D" w:rsidP="00A9209D">
            <w:pPr>
              <w:spacing w:after="0" w:line="240" w:lineRule="auto"/>
              <w:jc w:val="center"/>
              <w:rPr>
                <w:rFonts w:ascii="Verdana" w:eastAsiaTheme="minorHAnsi" w:hAnsi="Verdana" w:cstheme="minorBidi"/>
                <w:sz w:val="18"/>
                <w:szCs w:val="18"/>
              </w:rPr>
            </w:pPr>
            <w:hyperlink w:anchor="CVTS" w:history="1">
              <w:r w:rsidR="00822069"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672756" w:rsidRPr="00025B12" w:rsidTr="00672756">
        <w:trPr>
          <w:trHeight w:val="360"/>
        </w:trPr>
        <w:tc>
          <w:tcPr>
            <w:tcW w:w="1417" w:type="dxa"/>
            <w:tcBorders>
              <w:top w:val="dotted" w:sz="4" w:space="0" w:color="auto"/>
              <w:bottom w:val="dotted" w:sz="4" w:space="0" w:color="auto"/>
              <w:right w:val="dotted" w:sz="4" w:space="0" w:color="auto"/>
            </w:tcBorders>
          </w:tcPr>
          <w:p w:rsidR="00672756" w:rsidRPr="00025B12" w:rsidRDefault="00672756"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672756" w:rsidRPr="00025B12" w:rsidRDefault="00665F1D" w:rsidP="00672756">
            <w:pPr>
              <w:spacing w:after="0" w:line="240" w:lineRule="auto"/>
              <w:jc w:val="center"/>
              <w:rPr>
                <w:rFonts w:ascii="Verdana" w:eastAsiaTheme="minorHAnsi" w:hAnsi="Verdana" w:cstheme="minorBidi"/>
                <w:sz w:val="18"/>
                <w:szCs w:val="18"/>
              </w:rPr>
            </w:pPr>
            <w:hyperlink w:anchor="CVTS" w:history="1">
              <w:r w:rsidR="00672756"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672756" w:rsidRPr="00025B12" w:rsidRDefault="00672756"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672756" w:rsidRPr="00025B12" w:rsidRDefault="00672756"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672756" w:rsidRPr="00025B12" w:rsidRDefault="00672756"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822069" w:rsidRPr="00025B12" w:rsidTr="00672756">
        <w:trPr>
          <w:trHeight w:val="360"/>
        </w:trPr>
        <w:tc>
          <w:tcPr>
            <w:tcW w:w="1417" w:type="dxa"/>
            <w:tcBorders>
              <w:top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20" w:type="dxa"/>
            <w:tcBorders>
              <w:top w:val="dotted" w:sz="4" w:space="0" w:color="auto"/>
              <w:left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4" w:type="dxa"/>
            <w:tcBorders>
              <w:top w:val="dotted" w:sz="4" w:space="0" w:color="auto"/>
              <w:left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822069" w:rsidRPr="00025B12" w:rsidTr="00672756">
        <w:trPr>
          <w:trHeight w:val="274"/>
        </w:trPr>
        <w:tc>
          <w:tcPr>
            <w:tcW w:w="7219" w:type="dxa"/>
            <w:gridSpan w:val="4"/>
            <w:shd w:val="clear" w:color="auto" w:fill="663399"/>
          </w:tcPr>
          <w:p w:rsidR="00822069" w:rsidRPr="00025B12" w:rsidRDefault="00822069" w:rsidP="00A9209D">
            <w:pPr>
              <w:spacing w:after="0" w:line="240" w:lineRule="auto"/>
              <w:jc w:val="center"/>
              <w:rPr>
                <w:rFonts w:ascii="Verdana" w:eastAsiaTheme="minorHAnsi" w:hAnsi="Verdana" w:cstheme="minorBidi"/>
                <w:sz w:val="18"/>
                <w:szCs w:val="18"/>
              </w:rPr>
            </w:pPr>
          </w:p>
        </w:tc>
        <w:tc>
          <w:tcPr>
            <w:tcW w:w="2069" w:type="dxa"/>
            <w:shd w:val="clear" w:color="auto" w:fill="663399"/>
          </w:tcPr>
          <w:p w:rsidR="00822069" w:rsidRPr="00025B12" w:rsidRDefault="00822069" w:rsidP="00A9209D">
            <w:pPr>
              <w:spacing w:after="0" w:line="240" w:lineRule="auto"/>
              <w:jc w:val="center"/>
              <w:rPr>
                <w:rFonts w:ascii="Verdana" w:eastAsiaTheme="minorHAnsi" w:hAnsi="Verdana" w:cstheme="minorBidi"/>
                <w:sz w:val="18"/>
                <w:szCs w:val="18"/>
              </w:rPr>
            </w:pPr>
          </w:p>
        </w:tc>
      </w:tr>
      <w:tr w:rsidR="00822069" w:rsidRPr="00025B12" w:rsidTr="00672756">
        <w:trPr>
          <w:trHeight w:val="1319"/>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822069" w:rsidRPr="00025B12" w:rsidRDefault="00822069" w:rsidP="00E55F71">
            <w:pPr>
              <w:jc w:val="both"/>
              <w:rPr>
                <w:rFonts w:ascii="Verdana" w:hAnsi="Verdana"/>
                <w:sz w:val="18"/>
                <w:szCs w:val="18"/>
              </w:rPr>
            </w:pPr>
            <w:r w:rsidRPr="00025B12">
              <w:rPr>
                <w:rFonts w:ascii="Verdana" w:hAnsi="Verdana"/>
                <w:sz w:val="18"/>
                <w:szCs w:val="18"/>
              </w:rPr>
              <w:t xml:space="preserve">Podíl nákladů na kurzy DOV na celkových nákladech práce vypovídá o míře investic podniků do rozvoje lidských zdrojů. </w:t>
            </w:r>
            <w:r w:rsidR="00E55F71" w:rsidRPr="00025B12">
              <w:rPr>
                <w:rFonts w:ascii="Verdana" w:hAnsi="Verdana"/>
                <w:sz w:val="18"/>
                <w:szCs w:val="18"/>
              </w:rPr>
              <w:t xml:space="preserve">Je alternativou k indikátoru II.2.1. Oproti němu nabízí navíc informace o nepřímých nákladech na kurzy. Vztahuje pouze ke kurzům dalšího vzdělávání zaměstnanců, nikoli k dalším formám. </w:t>
            </w:r>
          </w:p>
        </w:tc>
      </w:tr>
      <w:tr w:rsidR="00822069" w:rsidRPr="00025B12" w:rsidTr="00672756">
        <w:trPr>
          <w:trHeight w:val="1485"/>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822069" w:rsidRPr="00025B12" w:rsidRDefault="00822069" w:rsidP="00A9209D">
            <w:pPr>
              <w:jc w:val="both"/>
              <w:rPr>
                <w:rFonts w:ascii="Verdana" w:hAnsi="Verdana"/>
                <w:sz w:val="18"/>
                <w:szCs w:val="18"/>
              </w:rPr>
            </w:pPr>
            <w:r w:rsidRPr="00025B12">
              <w:rPr>
                <w:rFonts w:ascii="Verdana" w:hAnsi="Verdana"/>
                <w:sz w:val="18"/>
                <w:szCs w:val="18"/>
              </w:rPr>
              <w:t>Indikátor je vypočten jako objem finančních prostředků vynaložených na kurzy dalšího odborného vzdělávání zaměstnanců dělený celkovým objemem nákladů práce v daném roce. Náklady na kurzy dalšího odborného vzdělání jsou rozděleny do dvou složek: přímé náklady (např. poplatek za školení, výukové materiály, pronájem prostor apod.) a nepřímé náklady, které představují náklady práce školených osob v době konání kurzu.</w:t>
            </w:r>
          </w:p>
        </w:tc>
      </w:tr>
      <w:tr w:rsidR="00822069" w:rsidRPr="00025B12" w:rsidTr="00672756">
        <w:trPr>
          <w:trHeight w:val="1392"/>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822069" w:rsidRPr="00025B12" w:rsidRDefault="00822069" w:rsidP="00A9209D">
            <w:pPr>
              <w:jc w:val="both"/>
              <w:rPr>
                <w:rFonts w:ascii="Verdana" w:hAnsi="Verdana"/>
                <w:sz w:val="18"/>
                <w:szCs w:val="18"/>
              </w:rPr>
            </w:pPr>
            <w:r w:rsidRPr="00025B12">
              <w:rPr>
                <w:rFonts w:ascii="Verdana" w:hAnsi="Verdana"/>
                <w:sz w:val="18"/>
                <w:szCs w:val="18"/>
              </w:rPr>
              <w:t>Pro mezinárodní srovnání jsou data přebírána z webových stránek Eurostatu, pro regionální srovnání nejsou data k dispozici. Sběr dat neumožňuje publikaci regionálních údajů – podnik je totiž zařazován do regionu podle svého sídla a jsou zde souhrnné informace ze všech jeho pracovišť.</w:t>
            </w:r>
          </w:p>
        </w:tc>
      </w:tr>
      <w:tr w:rsidR="00822069" w:rsidRPr="00025B12" w:rsidTr="00672756">
        <w:trPr>
          <w:trHeight w:val="837"/>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822069" w:rsidRPr="00025B12" w:rsidRDefault="00822069" w:rsidP="00A9209D">
            <w:pPr>
              <w:jc w:val="both"/>
              <w:rPr>
                <w:rFonts w:ascii="Verdana" w:hAnsi="Verdana"/>
                <w:sz w:val="18"/>
                <w:szCs w:val="18"/>
              </w:rPr>
            </w:pPr>
            <w:r w:rsidRPr="00025B12">
              <w:rPr>
                <w:rFonts w:ascii="Verdana" w:hAnsi="Verdana"/>
                <w:sz w:val="18"/>
                <w:szCs w:val="18"/>
              </w:rPr>
              <w:t>U podnikových statistik by bylo vhodné absenci regionálních údajů substituovat odvětvovým členěním.</w:t>
            </w:r>
          </w:p>
        </w:tc>
      </w:tr>
    </w:tbl>
    <w:p w:rsidR="00822069" w:rsidRPr="00025B12" w:rsidRDefault="00822069" w:rsidP="00822069"/>
    <w:p w:rsidR="00822069" w:rsidRPr="00025B12" w:rsidRDefault="00822069" w:rsidP="00822069">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5"/>
        <w:gridCol w:w="1537"/>
        <w:gridCol w:w="2212"/>
        <w:gridCol w:w="2025"/>
        <w:gridCol w:w="2069"/>
      </w:tblGrid>
      <w:tr w:rsidR="00822069" w:rsidRPr="00025B12" w:rsidTr="00EB5AE2">
        <w:trPr>
          <w:trHeight w:val="425"/>
        </w:trPr>
        <w:tc>
          <w:tcPr>
            <w:tcW w:w="1445" w:type="dxa"/>
            <w:tcBorders>
              <w:bottom w:val="single" w:sz="4" w:space="0" w:color="auto"/>
              <w:right w:val="single" w:sz="4" w:space="0" w:color="auto"/>
            </w:tcBorders>
            <w:shd w:val="clear" w:color="auto" w:fill="663399"/>
            <w:vAlign w:val="center"/>
          </w:tcPr>
          <w:p w:rsidR="00822069" w:rsidRPr="00025B12" w:rsidRDefault="00822069" w:rsidP="00A9209D">
            <w:pPr>
              <w:pStyle w:val="Kd"/>
              <w:rPr>
                <w:sz w:val="18"/>
                <w:szCs w:val="18"/>
              </w:rPr>
            </w:pPr>
            <w:r w:rsidRPr="00025B12">
              <w:rPr>
                <w:sz w:val="18"/>
                <w:szCs w:val="18"/>
              </w:rPr>
              <w:br w:type="page"/>
            </w:r>
            <w:r w:rsidRPr="00025B12">
              <w:rPr>
                <w:sz w:val="18"/>
                <w:szCs w:val="18"/>
              </w:rPr>
              <w:br w:type="page"/>
            </w:r>
            <w:bookmarkStart w:id="74" w:name="II24"/>
            <w:r w:rsidRPr="00025B12">
              <w:rPr>
                <w:sz w:val="18"/>
                <w:szCs w:val="18"/>
              </w:rPr>
              <w:t>II.2.</w:t>
            </w:r>
            <w:bookmarkEnd w:id="74"/>
            <w:r w:rsidR="008D36D8" w:rsidRPr="00025B12">
              <w:rPr>
                <w:sz w:val="18"/>
                <w:szCs w:val="18"/>
              </w:rPr>
              <w:t>d2</w:t>
            </w:r>
          </w:p>
        </w:tc>
        <w:tc>
          <w:tcPr>
            <w:tcW w:w="7843" w:type="dxa"/>
            <w:gridSpan w:val="4"/>
            <w:vMerge w:val="restart"/>
            <w:tcBorders>
              <w:top w:val="single" w:sz="4" w:space="0" w:color="auto"/>
              <w:left w:val="single" w:sz="4" w:space="0" w:color="auto"/>
              <w:right w:val="single" w:sz="4" w:space="0" w:color="auto"/>
            </w:tcBorders>
            <w:shd w:val="clear" w:color="auto" w:fill="663399"/>
            <w:vAlign w:val="center"/>
          </w:tcPr>
          <w:p w:rsidR="00822069" w:rsidRPr="00025B12" w:rsidRDefault="00822069" w:rsidP="002275FC">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 xml:space="preserve">Náklady na </w:t>
            </w:r>
            <w:r w:rsidR="005B1502" w:rsidRPr="00025B12">
              <w:rPr>
                <w:rFonts w:ascii="Verdana" w:eastAsiaTheme="minorHAnsi" w:hAnsi="Verdana" w:cstheme="minorBidi"/>
                <w:b/>
                <w:color w:val="FFFFFF" w:themeColor="background1"/>
              </w:rPr>
              <w:t xml:space="preserve">kurzy </w:t>
            </w:r>
            <w:r w:rsidR="002275FC" w:rsidRPr="00025B12">
              <w:rPr>
                <w:rFonts w:ascii="Verdana" w:eastAsiaTheme="minorHAnsi" w:hAnsi="Verdana" w:cstheme="minorBidi"/>
                <w:b/>
                <w:color w:val="FFFFFF" w:themeColor="background1"/>
              </w:rPr>
              <w:t xml:space="preserve">dalšího vzdělávání </w:t>
            </w:r>
            <w:r w:rsidR="0024306B" w:rsidRPr="00025B12">
              <w:rPr>
                <w:rFonts w:ascii="Verdana" w:eastAsiaTheme="minorHAnsi" w:hAnsi="Verdana" w:cstheme="minorBidi"/>
                <w:b/>
                <w:color w:val="FFFFFF" w:themeColor="background1"/>
              </w:rPr>
              <w:t>zaměstnanců</w:t>
            </w:r>
            <w:r w:rsidRPr="00025B12">
              <w:rPr>
                <w:rFonts w:ascii="Verdana" w:eastAsiaTheme="minorHAnsi" w:hAnsi="Verdana" w:cstheme="minorBidi"/>
                <w:b/>
                <w:color w:val="FFFFFF" w:themeColor="background1"/>
              </w:rPr>
              <w:t xml:space="preserve"> v přepočtu na </w:t>
            </w:r>
            <w:r w:rsidR="009D22B3" w:rsidRPr="00025B12">
              <w:rPr>
                <w:rFonts w:ascii="Verdana" w:eastAsiaTheme="minorHAnsi" w:hAnsi="Verdana" w:cstheme="minorBidi"/>
                <w:b/>
                <w:color w:val="FFFFFF" w:themeColor="background1"/>
              </w:rPr>
              <w:t>účastníka a na výukovou hodinu</w:t>
            </w:r>
          </w:p>
        </w:tc>
      </w:tr>
      <w:tr w:rsidR="00822069" w:rsidRPr="00025B12" w:rsidTr="00EB5AE2">
        <w:trPr>
          <w:trHeight w:val="360"/>
        </w:trPr>
        <w:tc>
          <w:tcPr>
            <w:tcW w:w="1445" w:type="dxa"/>
            <w:tcBorders>
              <w:top w:val="single" w:sz="4" w:space="0" w:color="auto"/>
              <w:bottom w:val="single" w:sz="4" w:space="0" w:color="auto"/>
              <w:right w:val="single" w:sz="4" w:space="0" w:color="auto"/>
            </w:tcBorders>
            <w:shd w:val="clear" w:color="auto" w:fill="663399"/>
            <w:vAlign w:val="center"/>
          </w:tcPr>
          <w:p w:rsidR="00822069" w:rsidRPr="00025B12" w:rsidRDefault="00A2004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43" w:type="dxa"/>
            <w:gridSpan w:val="4"/>
            <w:vMerge/>
            <w:tcBorders>
              <w:left w:val="single" w:sz="4" w:space="0" w:color="auto"/>
              <w:bottom w:val="single" w:sz="4" w:space="0" w:color="auto"/>
              <w:right w:val="single"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p>
        </w:tc>
      </w:tr>
      <w:tr w:rsidR="00822069" w:rsidRPr="00025B12" w:rsidTr="00296FE3">
        <w:trPr>
          <w:trHeight w:val="360"/>
        </w:trPr>
        <w:tc>
          <w:tcPr>
            <w:tcW w:w="1445" w:type="dxa"/>
            <w:tcBorders>
              <w:top w:val="single" w:sz="4" w:space="0" w:color="auto"/>
              <w:bottom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sz w:val="18"/>
                <w:szCs w:val="18"/>
              </w:rPr>
            </w:pPr>
          </w:p>
        </w:tc>
        <w:tc>
          <w:tcPr>
            <w:tcW w:w="1537"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12"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25"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822069" w:rsidRPr="00025B12" w:rsidRDefault="00822069"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95699F" w:rsidRPr="00025B12" w:rsidTr="00EB5AE2">
        <w:trPr>
          <w:trHeight w:val="360"/>
        </w:trPr>
        <w:tc>
          <w:tcPr>
            <w:tcW w:w="1445" w:type="dxa"/>
            <w:tcBorders>
              <w:top w:val="dotted" w:sz="4" w:space="0" w:color="auto"/>
              <w:bottom w:val="dotted" w:sz="4" w:space="0" w:color="auto"/>
              <w:right w:val="dotted" w:sz="4" w:space="0" w:color="auto"/>
            </w:tcBorders>
          </w:tcPr>
          <w:p w:rsidR="0095699F" w:rsidRPr="00025B12" w:rsidRDefault="0095699F"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37" w:type="dxa"/>
            <w:tcBorders>
              <w:top w:val="dotted" w:sz="4" w:space="0" w:color="auto"/>
              <w:left w:val="dotted" w:sz="4" w:space="0" w:color="auto"/>
              <w:bottom w:val="dotted" w:sz="4" w:space="0" w:color="auto"/>
              <w:right w:val="dotted" w:sz="4" w:space="0" w:color="auto"/>
            </w:tcBorders>
            <w:vAlign w:val="center"/>
          </w:tcPr>
          <w:p w:rsidR="0095699F" w:rsidRPr="00025B12" w:rsidRDefault="00665F1D" w:rsidP="00A939C3">
            <w:pPr>
              <w:spacing w:after="0" w:line="240" w:lineRule="auto"/>
              <w:jc w:val="center"/>
              <w:rPr>
                <w:rFonts w:ascii="Verdana" w:eastAsiaTheme="minorHAnsi" w:hAnsi="Verdana" w:cstheme="minorBidi"/>
                <w:sz w:val="18"/>
                <w:szCs w:val="18"/>
              </w:rPr>
            </w:pPr>
            <w:hyperlink w:anchor="CVTS" w:history="1">
              <w:r w:rsidR="0095699F" w:rsidRPr="00025B12">
                <w:rPr>
                  <w:rStyle w:val="Hypertextovodkaz"/>
                  <w:rFonts w:ascii="Verdana" w:eastAsiaTheme="minorHAnsi" w:hAnsi="Verdana" w:cstheme="minorBidi"/>
                  <w:sz w:val="18"/>
                  <w:szCs w:val="18"/>
                </w:rPr>
                <w:t>CVTS</w:t>
              </w:r>
            </w:hyperlink>
          </w:p>
        </w:tc>
        <w:tc>
          <w:tcPr>
            <w:tcW w:w="2212" w:type="dxa"/>
            <w:tcBorders>
              <w:top w:val="dotted" w:sz="4" w:space="0" w:color="auto"/>
              <w:left w:val="dotted" w:sz="4" w:space="0" w:color="auto"/>
              <w:bottom w:val="dotted" w:sz="4" w:space="0" w:color="auto"/>
              <w:right w:val="dotted" w:sz="4" w:space="0" w:color="auto"/>
            </w:tcBorders>
            <w:vAlign w:val="center"/>
          </w:tcPr>
          <w:p w:rsidR="0095699F" w:rsidRPr="00025B12" w:rsidRDefault="0095699F" w:rsidP="00A939C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25" w:type="dxa"/>
            <w:tcBorders>
              <w:top w:val="dotted" w:sz="4" w:space="0" w:color="auto"/>
              <w:left w:val="dotted" w:sz="4" w:space="0" w:color="auto"/>
              <w:bottom w:val="dotted" w:sz="4" w:space="0" w:color="auto"/>
              <w:right w:val="dotted" w:sz="4" w:space="0" w:color="auto"/>
            </w:tcBorders>
            <w:vAlign w:val="center"/>
          </w:tcPr>
          <w:p w:rsidR="0095699F" w:rsidRPr="00025B12" w:rsidRDefault="0095699F" w:rsidP="00A939C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95699F" w:rsidRPr="00025B12" w:rsidRDefault="0095699F" w:rsidP="00A939C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95699F" w:rsidRPr="00025B12" w:rsidTr="00EB5AE2">
        <w:trPr>
          <w:trHeight w:val="360"/>
        </w:trPr>
        <w:tc>
          <w:tcPr>
            <w:tcW w:w="1445" w:type="dxa"/>
            <w:tcBorders>
              <w:top w:val="dotted" w:sz="4" w:space="0" w:color="auto"/>
              <w:bottom w:val="dotted" w:sz="4" w:space="0" w:color="auto"/>
              <w:right w:val="dotted" w:sz="4" w:space="0" w:color="auto"/>
            </w:tcBorders>
          </w:tcPr>
          <w:p w:rsidR="0095699F" w:rsidRPr="00025B12" w:rsidRDefault="0095699F"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37" w:type="dxa"/>
            <w:tcBorders>
              <w:top w:val="dotted" w:sz="4" w:space="0" w:color="auto"/>
              <w:left w:val="dotted" w:sz="4" w:space="0" w:color="auto"/>
              <w:bottom w:val="dotted" w:sz="4" w:space="0" w:color="auto"/>
              <w:right w:val="dotted" w:sz="4" w:space="0" w:color="auto"/>
            </w:tcBorders>
            <w:vAlign w:val="center"/>
          </w:tcPr>
          <w:p w:rsidR="0095699F" w:rsidRPr="00025B12" w:rsidRDefault="00665F1D" w:rsidP="00A939C3">
            <w:pPr>
              <w:spacing w:after="0" w:line="240" w:lineRule="auto"/>
              <w:jc w:val="center"/>
              <w:rPr>
                <w:rFonts w:ascii="Verdana" w:eastAsiaTheme="minorHAnsi" w:hAnsi="Verdana" w:cstheme="minorBidi"/>
                <w:sz w:val="18"/>
                <w:szCs w:val="18"/>
              </w:rPr>
            </w:pPr>
            <w:hyperlink w:anchor="CVTS" w:history="1">
              <w:r w:rsidR="0095699F" w:rsidRPr="00025B12">
                <w:rPr>
                  <w:rStyle w:val="Hypertextovodkaz"/>
                  <w:rFonts w:ascii="Verdana" w:eastAsiaTheme="minorHAnsi" w:hAnsi="Verdana" w:cstheme="minorBidi"/>
                  <w:sz w:val="18"/>
                  <w:szCs w:val="18"/>
                </w:rPr>
                <w:t>CVTS</w:t>
              </w:r>
            </w:hyperlink>
          </w:p>
        </w:tc>
        <w:tc>
          <w:tcPr>
            <w:tcW w:w="2212" w:type="dxa"/>
            <w:tcBorders>
              <w:top w:val="dotted" w:sz="4" w:space="0" w:color="auto"/>
              <w:left w:val="dotted" w:sz="4" w:space="0" w:color="auto"/>
              <w:bottom w:val="dotted" w:sz="4" w:space="0" w:color="auto"/>
              <w:right w:val="dotted" w:sz="4" w:space="0" w:color="auto"/>
            </w:tcBorders>
            <w:vAlign w:val="center"/>
          </w:tcPr>
          <w:p w:rsidR="0095699F" w:rsidRPr="00025B12" w:rsidRDefault="0095699F" w:rsidP="00A939C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25" w:type="dxa"/>
            <w:tcBorders>
              <w:top w:val="dotted" w:sz="4" w:space="0" w:color="auto"/>
              <w:left w:val="dotted" w:sz="4" w:space="0" w:color="auto"/>
              <w:bottom w:val="dotted" w:sz="4" w:space="0" w:color="auto"/>
              <w:right w:val="dotted" w:sz="4" w:space="0" w:color="auto"/>
            </w:tcBorders>
            <w:vAlign w:val="center"/>
          </w:tcPr>
          <w:p w:rsidR="0095699F" w:rsidRPr="00025B12" w:rsidRDefault="0095699F" w:rsidP="00A939C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95699F" w:rsidRPr="00025B12" w:rsidRDefault="0095699F" w:rsidP="00A939C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822069" w:rsidRPr="00025B12" w:rsidTr="00EB5AE2">
        <w:trPr>
          <w:trHeight w:val="360"/>
        </w:trPr>
        <w:tc>
          <w:tcPr>
            <w:tcW w:w="1445" w:type="dxa"/>
            <w:tcBorders>
              <w:top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37" w:type="dxa"/>
            <w:tcBorders>
              <w:top w:val="dotted" w:sz="4" w:space="0" w:color="auto"/>
              <w:left w:val="dotted" w:sz="4" w:space="0" w:color="auto"/>
              <w:right w:val="dotted" w:sz="4" w:space="0" w:color="auto"/>
            </w:tcBorders>
            <w:vAlign w:val="center"/>
          </w:tcPr>
          <w:p w:rsidR="00822069" w:rsidRPr="00025B12" w:rsidRDefault="0095699F"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12" w:type="dxa"/>
            <w:tcBorders>
              <w:top w:val="dotted" w:sz="4" w:space="0" w:color="auto"/>
              <w:left w:val="dotted" w:sz="4" w:space="0" w:color="auto"/>
              <w:right w:val="dotted" w:sz="4" w:space="0" w:color="auto"/>
            </w:tcBorders>
            <w:vAlign w:val="center"/>
          </w:tcPr>
          <w:p w:rsidR="00822069" w:rsidRPr="00025B12" w:rsidRDefault="0095699F"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25" w:type="dxa"/>
            <w:tcBorders>
              <w:top w:val="dotted" w:sz="4" w:space="0" w:color="auto"/>
              <w:left w:val="dotted" w:sz="4" w:space="0" w:color="auto"/>
              <w:right w:val="dotted" w:sz="4" w:space="0" w:color="auto"/>
            </w:tcBorders>
            <w:vAlign w:val="center"/>
          </w:tcPr>
          <w:p w:rsidR="00822069" w:rsidRPr="00025B12" w:rsidRDefault="0095699F"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822069" w:rsidRPr="00025B12" w:rsidRDefault="0095699F"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822069" w:rsidRPr="00025B12" w:rsidTr="00EB5AE2">
        <w:trPr>
          <w:trHeight w:val="274"/>
        </w:trPr>
        <w:tc>
          <w:tcPr>
            <w:tcW w:w="7219" w:type="dxa"/>
            <w:gridSpan w:val="4"/>
            <w:shd w:val="clear" w:color="auto" w:fill="663399"/>
          </w:tcPr>
          <w:p w:rsidR="00822069" w:rsidRPr="00025B12" w:rsidRDefault="00822069" w:rsidP="00A9209D">
            <w:pPr>
              <w:spacing w:after="0" w:line="240" w:lineRule="auto"/>
              <w:jc w:val="center"/>
              <w:rPr>
                <w:rFonts w:ascii="Verdana" w:eastAsiaTheme="minorHAnsi" w:hAnsi="Verdana" w:cstheme="minorBidi"/>
                <w:sz w:val="18"/>
                <w:szCs w:val="18"/>
              </w:rPr>
            </w:pPr>
          </w:p>
        </w:tc>
        <w:tc>
          <w:tcPr>
            <w:tcW w:w="2069" w:type="dxa"/>
            <w:shd w:val="clear" w:color="auto" w:fill="663399"/>
          </w:tcPr>
          <w:p w:rsidR="00822069" w:rsidRPr="00025B12" w:rsidRDefault="00822069" w:rsidP="00A9209D">
            <w:pPr>
              <w:spacing w:after="0" w:line="240" w:lineRule="auto"/>
              <w:jc w:val="center"/>
              <w:rPr>
                <w:rFonts w:ascii="Verdana" w:eastAsiaTheme="minorHAnsi" w:hAnsi="Verdana" w:cstheme="minorBidi"/>
                <w:sz w:val="18"/>
                <w:szCs w:val="18"/>
              </w:rPr>
            </w:pPr>
          </w:p>
        </w:tc>
      </w:tr>
      <w:tr w:rsidR="00822069" w:rsidRPr="00025B12" w:rsidTr="0095699F">
        <w:trPr>
          <w:trHeight w:val="1319"/>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822069" w:rsidRPr="00025B12" w:rsidRDefault="009D22B3" w:rsidP="00304766">
            <w:pPr>
              <w:jc w:val="both"/>
              <w:rPr>
                <w:rFonts w:ascii="Verdana" w:hAnsi="Verdana"/>
                <w:sz w:val="18"/>
                <w:szCs w:val="18"/>
              </w:rPr>
            </w:pPr>
            <w:r w:rsidRPr="00025B12">
              <w:rPr>
                <w:rFonts w:ascii="Verdana" w:hAnsi="Verdana"/>
                <w:sz w:val="18"/>
                <w:szCs w:val="18"/>
              </w:rPr>
              <w:t xml:space="preserve">Indikátor vypovídá o investicích podniků do vzdělávání z pohledu nákladů na účastníka a na výukovou hodinu. Nevypovídá tak o celkových investicích do vzdělávání, jako spíše o intenzitě těchto investic a náročnosti vzdělávání, které je poskytováno. </w:t>
            </w:r>
            <w:r w:rsidR="00052D0E" w:rsidRPr="00025B12">
              <w:rPr>
                <w:rFonts w:ascii="Verdana" w:hAnsi="Verdana"/>
                <w:sz w:val="18"/>
                <w:szCs w:val="18"/>
              </w:rPr>
              <w:t>Náklady na účastníka vypovídají</w:t>
            </w:r>
            <w:r w:rsidR="003E48DC" w:rsidRPr="00025B12">
              <w:rPr>
                <w:rFonts w:ascii="Verdana" w:hAnsi="Verdana"/>
                <w:sz w:val="18"/>
                <w:szCs w:val="18"/>
              </w:rPr>
              <w:t xml:space="preserve"> o intenzitě a délce školení, zatímco přepočet</w:t>
            </w:r>
            <w:r w:rsidR="00052D0E" w:rsidRPr="00025B12">
              <w:rPr>
                <w:rFonts w:ascii="Verdana" w:hAnsi="Verdana"/>
                <w:sz w:val="18"/>
                <w:szCs w:val="18"/>
              </w:rPr>
              <w:t xml:space="preserve"> nákladů na výukovou hodinu</w:t>
            </w:r>
            <w:r w:rsidR="003E48DC" w:rsidRPr="00025B12">
              <w:rPr>
                <w:rFonts w:ascii="Verdana" w:hAnsi="Verdana"/>
                <w:sz w:val="18"/>
                <w:szCs w:val="18"/>
              </w:rPr>
              <w:t xml:space="preserve"> více o typu a náročnosti poskytovaných kurzů. V obou případech je třeba indikátory interpretovat společně s podílem vzdělávajících podniků a s podílem účastníků podnikového v</w:t>
            </w:r>
            <w:r w:rsidR="00304766" w:rsidRPr="00025B12">
              <w:rPr>
                <w:rFonts w:ascii="Verdana" w:hAnsi="Verdana"/>
                <w:sz w:val="18"/>
                <w:szCs w:val="18"/>
              </w:rPr>
              <w:t>zdělávání ze všech zaměstnanců</w:t>
            </w:r>
            <w:r w:rsidR="00052D0E" w:rsidRPr="00025B12">
              <w:rPr>
                <w:rFonts w:ascii="Verdana" w:hAnsi="Verdana"/>
                <w:sz w:val="18"/>
                <w:szCs w:val="18"/>
              </w:rPr>
              <w:t>.</w:t>
            </w:r>
          </w:p>
        </w:tc>
      </w:tr>
      <w:tr w:rsidR="00822069" w:rsidRPr="00025B12" w:rsidTr="0095699F">
        <w:trPr>
          <w:trHeight w:val="1485"/>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822069" w:rsidRPr="00025B12" w:rsidRDefault="003E48DC" w:rsidP="00052D0E">
            <w:pPr>
              <w:jc w:val="both"/>
              <w:rPr>
                <w:rFonts w:ascii="Verdana" w:hAnsi="Verdana"/>
                <w:sz w:val="18"/>
                <w:szCs w:val="18"/>
              </w:rPr>
            </w:pPr>
            <w:r w:rsidRPr="00025B12">
              <w:rPr>
                <w:rFonts w:ascii="Verdana" w:hAnsi="Verdana"/>
                <w:sz w:val="18"/>
                <w:szCs w:val="18"/>
              </w:rPr>
              <w:t xml:space="preserve">Indikátor je vypočten jako celkový objem nákladů na kurzy dalšího vzdělávání dělený počtem účastníků těchto kurzů. Druhá složka indikátoru představuje podíl </w:t>
            </w:r>
            <w:r w:rsidR="00052D0E" w:rsidRPr="00025B12">
              <w:rPr>
                <w:rFonts w:ascii="Verdana" w:hAnsi="Verdana"/>
                <w:sz w:val="18"/>
                <w:szCs w:val="18"/>
              </w:rPr>
              <w:t>nákladů ku počtu výukových hodin</w:t>
            </w:r>
            <w:r w:rsidRPr="00025B12">
              <w:rPr>
                <w:rFonts w:ascii="Verdana" w:hAnsi="Verdana"/>
                <w:sz w:val="18"/>
                <w:szCs w:val="18"/>
              </w:rPr>
              <w:t>.</w:t>
            </w:r>
            <w:r w:rsidR="0095699F" w:rsidRPr="00025B12">
              <w:rPr>
                <w:rFonts w:ascii="Verdana" w:hAnsi="Verdana"/>
                <w:sz w:val="18"/>
                <w:szCs w:val="18"/>
              </w:rPr>
              <w:t xml:space="preserve"> V ob</w:t>
            </w:r>
            <w:r w:rsidR="00052D0E" w:rsidRPr="00025B12">
              <w:rPr>
                <w:rFonts w:ascii="Verdana" w:hAnsi="Verdana"/>
                <w:sz w:val="18"/>
                <w:szCs w:val="18"/>
              </w:rPr>
              <w:t>ou případech jsou údaje přepočteny</w:t>
            </w:r>
            <w:r w:rsidR="0095699F" w:rsidRPr="00025B12">
              <w:rPr>
                <w:rFonts w:ascii="Verdana" w:hAnsi="Verdana"/>
                <w:sz w:val="18"/>
                <w:szCs w:val="18"/>
              </w:rPr>
              <w:t xml:space="preserve"> na standard kupní síly.</w:t>
            </w:r>
          </w:p>
        </w:tc>
      </w:tr>
      <w:tr w:rsidR="00822069" w:rsidRPr="00025B12" w:rsidTr="0095699F">
        <w:trPr>
          <w:trHeight w:val="1053"/>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822069" w:rsidRPr="00025B12" w:rsidRDefault="0095699F" w:rsidP="00A9209D">
            <w:pPr>
              <w:jc w:val="both"/>
              <w:rPr>
                <w:rFonts w:ascii="Verdana" w:hAnsi="Verdana"/>
                <w:sz w:val="18"/>
                <w:szCs w:val="18"/>
              </w:rPr>
            </w:pPr>
            <w:r w:rsidRPr="00025B12">
              <w:rPr>
                <w:rFonts w:ascii="Verdana" w:hAnsi="Verdana"/>
                <w:sz w:val="18"/>
                <w:szCs w:val="18"/>
              </w:rPr>
              <w:t>Indikátory jsou v mezinárodním srovnání přímo převzaty z databáze Eurostatu. Regionální členění není k dispozici.</w:t>
            </w:r>
          </w:p>
        </w:tc>
      </w:tr>
      <w:tr w:rsidR="00822069" w:rsidRPr="00025B12" w:rsidTr="0095699F">
        <w:trPr>
          <w:trHeight w:val="837"/>
        </w:trPr>
        <w:tc>
          <w:tcPr>
            <w:tcW w:w="9288" w:type="dxa"/>
            <w:gridSpan w:val="5"/>
          </w:tcPr>
          <w:p w:rsidR="00822069" w:rsidRPr="00025B12" w:rsidRDefault="00822069" w:rsidP="00E55F71">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tc>
      </w:tr>
    </w:tbl>
    <w:p w:rsidR="00822069" w:rsidRPr="00025B12" w:rsidRDefault="00822069" w:rsidP="00822069"/>
    <w:p w:rsidR="00C43089" w:rsidRPr="00025B12" w:rsidRDefault="00822069" w:rsidP="001448D9">
      <w:pPr>
        <w:rPr>
          <w:rFonts w:ascii="Verdana" w:hAnsi="Verdana"/>
          <w:b/>
          <w:sz w:val="24"/>
          <w:szCs w:val="24"/>
        </w:rPr>
      </w:pPr>
      <w:r w:rsidRPr="00025B12">
        <w:br w:type="page"/>
      </w:r>
      <w:r w:rsidR="00C43089" w:rsidRPr="00025B12">
        <w:rPr>
          <w:rFonts w:ascii="Verdana" w:hAnsi="Verdana"/>
          <w:b/>
          <w:sz w:val="24"/>
          <w:szCs w:val="24"/>
        </w:rPr>
        <w:lastRenderedPageBreak/>
        <w:t>II.3 Státní výdaje na podporu dalšího vzdělávání</w:t>
      </w:r>
    </w:p>
    <w:p w:rsidR="00822069" w:rsidRPr="00025B12" w:rsidRDefault="00822069" w:rsidP="008220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1893"/>
        <w:gridCol w:w="2239"/>
        <w:gridCol w:w="2055"/>
        <w:gridCol w:w="1675"/>
      </w:tblGrid>
      <w:tr w:rsidR="00822069" w:rsidRPr="00025B12" w:rsidTr="00672756">
        <w:trPr>
          <w:trHeight w:val="425"/>
        </w:trPr>
        <w:tc>
          <w:tcPr>
            <w:tcW w:w="1426" w:type="dxa"/>
            <w:tcBorders>
              <w:bottom w:val="single" w:sz="4" w:space="0" w:color="auto"/>
              <w:right w:val="single" w:sz="4" w:space="0" w:color="auto"/>
            </w:tcBorders>
            <w:shd w:val="clear" w:color="auto" w:fill="663399"/>
            <w:vAlign w:val="center"/>
          </w:tcPr>
          <w:p w:rsidR="00822069" w:rsidRPr="00025B12" w:rsidRDefault="00822069" w:rsidP="00A9209D">
            <w:pPr>
              <w:pStyle w:val="Kd"/>
              <w:rPr>
                <w:sz w:val="18"/>
                <w:szCs w:val="18"/>
              </w:rPr>
            </w:pPr>
            <w:r w:rsidRPr="00025B12">
              <w:rPr>
                <w:sz w:val="18"/>
                <w:szCs w:val="18"/>
              </w:rPr>
              <w:br w:type="page"/>
            </w:r>
            <w:r w:rsidRPr="00025B12">
              <w:rPr>
                <w:sz w:val="18"/>
                <w:szCs w:val="18"/>
              </w:rPr>
              <w:br w:type="page"/>
            </w:r>
            <w:bookmarkStart w:id="75" w:name="II31"/>
            <w:r w:rsidRPr="00025B12">
              <w:rPr>
                <w:sz w:val="18"/>
                <w:szCs w:val="18"/>
              </w:rPr>
              <w:t>II.3.1</w:t>
            </w:r>
            <w:bookmarkEnd w:id="75"/>
          </w:p>
        </w:tc>
        <w:tc>
          <w:tcPr>
            <w:tcW w:w="7862" w:type="dxa"/>
            <w:gridSpan w:val="4"/>
            <w:vMerge w:val="restart"/>
            <w:tcBorders>
              <w:top w:val="single" w:sz="4" w:space="0" w:color="auto"/>
              <w:left w:val="single" w:sz="4" w:space="0" w:color="auto"/>
              <w:right w:val="single" w:sz="4" w:space="0" w:color="auto"/>
            </w:tcBorders>
            <w:shd w:val="clear" w:color="auto" w:fill="663399"/>
            <w:vAlign w:val="center"/>
          </w:tcPr>
          <w:p w:rsidR="00822069" w:rsidRPr="00025B12" w:rsidRDefault="00A655FE" w:rsidP="00A655FE">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Výdaje</w:t>
            </w:r>
            <w:r w:rsidR="00822069" w:rsidRPr="00025B12">
              <w:rPr>
                <w:rFonts w:ascii="Verdana" w:eastAsiaTheme="minorHAnsi" w:hAnsi="Verdana" w:cstheme="minorBidi"/>
                <w:b/>
                <w:color w:val="FFFFFF" w:themeColor="background1"/>
              </w:rPr>
              <w:t xml:space="preserve"> na rekvalifikace</w:t>
            </w:r>
          </w:p>
        </w:tc>
      </w:tr>
      <w:tr w:rsidR="00822069" w:rsidRPr="00025B12" w:rsidTr="00672756">
        <w:trPr>
          <w:trHeight w:val="360"/>
        </w:trPr>
        <w:tc>
          <w:tcPr>
            <w:tcW w:w="1426" w:type="dxa"/>
            <w:tcBorders>
              <w:top w:val="single" w:sz="4" w:space="0" w:color="auto"/>
              <w:bottom w:val="single" w:sz="4" w:space="0" w:color="auto"/>
              <w:right w:val="single" w:sz="4" w:space="0" w:color="auto"/>
            </w:tcBorders>
            <w:shd w:val="clear" w:color="auto" w:fill="663399"/>
            <w:vAlign w:val="center"/>
          </w:tcPr>
          <w:p w:rsidR="00822069" w:rsidRPr="00025B12" w:rsidRDefault="00A2004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62" w:type="dxa"/>
            <w:gridSpan w:val="4"/>
            <w:vMerge/>
            <w:tcBorders>
              <w:left w:val="single" w:sz="4" w:space="0" w:color="auto"/>
              <w:bottom w:val="single" w:sz="4" w:space="0" w:color="auto"/>
              <w:right w:val="single"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p>
        </w:tc>
      </w:tr>
      <w:tr w:rsidR="00822069" w:rsidRPr="00025B12" w:rsidTr="00296FE3">
        <w:trPr>
          <w:trHeight w:val="360"/>
        </w:trPr>
        <w:tc>
          <w:tcPr>
            <w:tcW w:w="1426" w:type="dxa"/>
            <w:tcBorders>
              <w:top w:val="single" w:sz="4" w:space="0" w:color="auto"/>
              <w:bottom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sz w:val="18"/>
                <w:szCs w:val="18"/>
              </w:rPr>
            </w:pPr>
          </w:p>
        </w:tc>
        <w:tc>
          <w:tcPr>
            <w:tcW w:w="1893"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39"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55"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75" w:type="dxa"/>
            <w:tcBorders>
              <w:top w:val="single" w:sz="4" w:space="0" w:color="auto"/>
              <w:left w:val="dotted" w:sz="4" w:space="0" w:color="auto"/>
              <w:bottom w:val="dotted" w:sz="4" w:space="0" w:color="auto"/>
            </w:tcBorders>
            <w:vAlign w:val="center"/>
          </w:tcPr>
          <w:p w:rsidR="00822069" w:rsidRPr="00025B12" w:rsidRDefault="00822069"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822069" w:rsidRPr="00025B12" w:rsidTr="00672756">
        <w:trPr>
          <w:trHeight w:val="360"/>
        </w:trPr>
        <w:tc>
          <w:tcPr>
            <w:tcW w:w="1426" w:type="dxa"/>
            <w:tcBorders>
              <w:top w:val="dotted" w:sz="4" w:space="0" w:color="auto"/>
              <w:bottom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93" w:type="dxa"/>
            <w:tcBorders>
              <w:top w:val="dotted" w:sz="4" w:space="0" w:color="auto"/>
              <w:left w:val="dotted" w:sz="4" w:space="0" w:color="auto"/>
              <w:bottom w:val="dotted" w:sz="4" w:space="0" w:color="auto"/>
              <w:right w:val="dotted" w:sz="4" w:space="0" w:color="auto"/>
            </w:tcBorders>
            <w:vAlign w:val="center"/>
          </w:tcPr>
          <w:p w:rsidR="00822069" w:rsidRPr="00025B12" w:rsidRDefault="00665F1D" w:rsidP="00856DAF">
            <w:pPr>
              <w:jc w:val="both"/>
              <w:rPr>
                <w:rFonts w:ascii="Verdana" w:eastAsiaTheme="minorHAnsi" w:hAnsi="Verdana" w:cstheme="minorBidi"/>
                <w:sz w:val="18"/>
                <w:szCs w:val="18"/>
              </w:rPr>
            </w:pPr>
            <w:hyperlink w:anchor="LMPD" w:history="1">
              <w:r w:rsidR="00856DAF" w:rsidRPr="00025B12">
                <w:rPr>
                  <w:rStyle w:val="Hypertextovodkaz"/>
                  <w:rFonts w:ascii="Verdana" w:eastAsiaTheme="minorHAnsi" w:hAnsi="Verdana" w:cstheme="minorBidi"/>
                  <w:sz w:val="18"/>
                  <w:szCs w:val="18"/>
                </w:rPr>
                <w:t>Labour market policy database</w:t>
              </w:r>
            </w:hyperlink>
          </w:p>
        </w:tc>
        <w:tc>
          <w:tcPr>
            <w:tcW w:w="2239" w:type="dxa"/>
            <w:tcBorders>
              <w:top w:val="dotted"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55" w:type="dxa"/>
            <w:tcBorders>
              <w:top w:val="dotted"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75" w:type="dxa"/>
            <w:tcBorders>
              <w:top w:val="dotted" w:sz="4" w:space="0" w:color="auto"/>
              <w:left w:val="dotted" w:sz="4" w:space="0" w:color="auto"/>
              <w:bottom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2000</w:t>
            </w:r>
          </w:p>
        </w:tc>
      </w:tr>
      <w:tr w:rsidR="00822069" w:rsidRPr="00025B12" w:rsidTr="00672756">
        <w:trPr>
          <w:trHeight w:val="360"/>
        </w:trPr>
        <w:tc>
          <w:tcPr>
            <w:tcW w:w="1426" w:type="dxa"/>
            <w:tcBorders>
              <w:top w:val="dotted" w:sz="4" w:space="0" w:color="auto"/>
              <w:bottom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93" w:type="dxa"/>
            <w:tcBorders>
              <w:top w:val="dotted" w:sz="4" w:space="0" w:color="auto"/>
              <w:left w:val="dotted" w:sz="4" w:space="0" w:color="auto"/>
              <w:bottom w:val="dotted" w:sz="4" w:space="0" w:color="auto"/>
              <w:right w:val="dotted" w:sz="4" w:space="0" w:color="auto"/>
            </w:tcBorders>
            <w:vAlign w:val="center"/>
          </w:tcPr>
          <w:p w:rsidR="00822069" w:rsidRPr="00025B12" w:rsidRDefault="00665F1D" w:rsidP="00A9209D">
            <w:pPr>
              <w:spacing w:after="0" w:line="240" w:lineRule="auto"/>
              <w:jc w:val="center"/>
              <w:rPr>
                <w:rFonts w:ascii="Verdana" w:eastAsiaTheme="minorHAnsi" w:hAnsi="Verdana" w:cstheme="minorBidi"/>
                <w:sz w:val="18"/>
                <w:szCs w:val="18"/>
              </w:rPr>
            </w:pPr>
            <w:hyperlink w:anchor="ISSZ" w:history="1">
              <w:r w:rsidR="00672756" w:rsidRPr="00025B12">
                <w:rPr>
                  <w:rStyle w:val="Hypertextovodkaz"/>
                  <w:rFonts w:ascii="Verdana" w:eastAsiaTheme="minorHAnsi" w:hAnsi="Verdana" w:cstheme="minorBidi"/>
                  <w:sz w:val="18"/>
                  <w:szCs w:val="18"/>
                </w:rPr>
                <w:t>Informační systém služeb zaměstnanosti</w:t>
              </w:r>
            </w:hyperlink>
          </w:p>
        </w:tc>
        <w:tc>
          <w:tcPr>
            <w:tcW w:w="2239" w:type="dxa"/>
            <w:tcBorders>
              <w:top w:val="dotted"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MPSV</w:t>
            </w:r>
          </w:p>
        </w:tc>
        <w:tc>
          <w:tcPr>
            <w:tcW w:w="2055" w:type="dxa"/>
            <w:tcBorders>
              <w:top w:val="dotted"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75" w:type="dxa"/>
            <w:tcBorders>
              <w:top w:val="dotted" w:sz="4" w:space="0" w:color="auto"/>
              <w:left w:val="dotted" w:sz="4" w:space="0" w:color="auto"/>
              <w:bottom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2000</w:t>
            </w:r>
          </w:p>
        </w:tc>
      </w:tr>
      <w:tr w:rsidR="00672756" w:rsidRPr="00025B12" w:rsidTr="00672756">
        <w:trPr>
          <w:trHeight w:val="360"/>
        </w:trPr>
        <w:tc>
          <w:tcPr>
            <w:tcW w:w="1426" w:type="dxa"/>
            <w:tcBorders>
              <w:top w:val="dotted" w:sz="4" w:space="0" w:color="auto"/>
              <w:right w:val="dotted" w:sz="4" w:space="0" w:color="auto"/>
            </w:tcBorders>
          </w:tcPr>
          <w:p w:rsidR="00672756" w:rsidRPr="00025B12" w:rsidRDefault="00672756"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93" w:type="dxa"/>
            <w:tcBorders>
              <w:top w:val="dotted" w:sz="4" w:space="0" w:color="auto"/>
              <w:left w:val="dotted" w:sz="4" w:space="0" w:color="auto"/>
              <w:right w:val="dotted" w:sz="4" w:space="0" w:color="auto"/>
            </w:tcBorders>
            <w:vAlign w:val="center"/>
          </w:tcPr>
          <w:p w:rsidR="00672756" w:rsidRPr="00025B12" w:rsidRDefault="00665F1D" w:rsidP="00672756">
            <w:pPr>
              <w:spacing w:after="0" w:line="240" w:lineRule="auto"/>
              <w:jc w:val="center"/>
              <w:rPr>
                <w:rFonts w:ascii="Verdana" w:eastAsiaTheme="minorHAnsi" w:hAnsi="Verdana" w:cstheme="minorBidi"/>
                <w:sz w:val="18"/>
                <w:szCs w:val="18"/>
              </w:rPr>
            </w:pPr>
            <w:hyperlink w:anchor="ISSZ" w:history="1">
              <w:r w:rsidR="00672756" w:rsidRPr="00025B12">
                <w:rPr>
                  <w:rStyle w:val="Hypertextovodkaz"/>
                  <w:rFonts w:ascii="Verdana" w:eastAsiaTheme="minorHAnsi" w:hAnsi="Verdana" w:cstheme="minorBidi"/>
                  <w:sz w:val="18"/>
                  <w:szCs w:val="18"/>
                </w:rPr>
                <w:t>Informační systém služeb zaměstnanosti</w:t>
              </w:r>
            </w:hyperlink>
          </w:p>
        </w:tc>
        <w:tc>
          <w:tcPr>
            <w:tcW w:w="2239" w:type="dxa"/>
            <w:tcBorders>
              <w:top w:val="dotted" w:sz="4" w:space="0" w:color="auto"/>
              <w:left w:val="dotted" w:sz="4" w:space="0" w:color="auto"/>
              <w:right w:val="dotted" w:sz="4" w:space="0" w:color="auto"/>
            </w:tcBorders>
            <w:vAlign w:val="center"/>
          </w:tcPr>
          <w:p w:rsidR="00672756" w:rsidRPr="00025B12" w:rsidRDefault="00672756"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MPSV</w:t>
            </w:r>
          </w:p>
        </w:tc>
        <w:tc>
          <w:tcPr>
            <w:tcW w:w="2055" w:type="dxa"/>
            <w:tcBorders>
              <w:top w:val="dotted" w:sz="4" w:space="0" w:color="auto"/>
              <w:left w:val="dotted" w:sz="4" w:space="0" w:color="auto"/>
              <w:right w:val="dotted" w:sz="4" w:space="0" w:color="auto"/>
            </w:tcBorders>
            <w:vAlign w:val="center"/>
          </w:tcPr>
          <w:p w:rsidR="00672756" w:rsidRPr="00025B12" w:rsidRDefault="00672756"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75" w:type="dxa"/>
            <w:tcBorders>
              <w:top w:val="dotted" w:sz="4" w:space="0" w:color="auto"/>
              <w:left w:val="dotted" w:sz="4" w:space="0" w:color="auto"/>
            </w:tcBorders>
            <w:vAlign w:val="center"/>
          </w:tcPr>
          <w:p w:rsidR="00672756" w:rsidRPr="00025B12" w:rsidRDefault="00672756"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2000</w:t>
            </w:r>
          </w:p>
        </w:tc>
      </w:tr>
      <w:tr w:rsidR="00822069" w:rsidRPr="00025B12" w:rsidTr="00672756">
        <w:trPr>
          <w:trHeight w:val="274"/>
        </w:trPr>
        <w:tc>
          <w:tcPr>
            <w:tcW w:w="7613" w:type="dxa"/>
            <w:gridSpan w:val="4"/>
            <w:shd w:val="clear" w:color="auto" w:fill="663399"/>
          </w:tcPr>
          <w:p w:rsidR="00822069" w:rsidRPr="00025B12" w:rsidRDefault="00822069" w:rsidP="00A9209D">
            <w:pPr>
              <w:spacing w:after="0" w:line="240" w:lineRule="auto"/>
              <w:jc w:val="center"/>
              <w:rPr>
                <w:rFonts w:ascii="Verdana" w:eastAsiaTheme="minorHAnsi" w:hAnsi="Verdana" w:cstheme="minorBidi"/>
                <w:sz w:val="18"/>
                <w:szCs w:val="18"/>
              </w:rPr>
            </w:pPr>
          </w:p>
        </w:tc>
        <w:tc>
          <w:tcPr>
            <w:tcW w:w="1675" w:type="dxa"/>
            <w:shd w:val="clear" w:color="auto" w:fill="663399"/>
          </w:tcPr>
          <w:p w:rsidR="00822069" w:rsidRPr="00025B12" w:rsidRDefault="00822069" w:rsidP="00A9209D">
            <w:pPr>
              <w:spacing w:after="0" w:line="240" w:lineRule="auto"/>
              <w:jc w:val="center"/>
              <w:rPr>
                <w:rFonts w:ascii="Verdana" w:eastAsiaTheme="minorHAnsi" w:hAnsi="Verdana" w:cstheme="minorBidi"/>
                <w:sz w:val="18"/>
                <w:szCs w:val="18"/>
              </w:rPr>
            </w:pPr>
          </w:p>
        </w:tc>
      </w:tr>
      <w:tr w:rsidR="00822069" w:rsidRPr="00025B12" w:rsidTr="00672756">
        <w:trPr>
          <w:trHeight w:val="1319"/>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822069" w:rsidRPr="00025B12" w:rsidRDefault="00822069" w:rsidP="00A9209D">
            <w:pPr>
              <w:jc w:val="both"/>
              <w:rPr>
                <w:rFonts w:ascii="Verdana" w:hAnsi="Verdana"/>
                <w:sz w:val="18"/>
                <w:szCs w:val="18"/>
              </w:rPr>
            </w:pPr>
            <w:r w:rsidRPr="00025B12">
              <w:rPr>
                <w:rFonts w:ascii="Verdana" w:hAnsi="Verdana"/>
                <w:sz w:val="18"/>
                <w:szCs w:val="18"/>
              </w:rPr>
              <w:t>Indikátor informuje o výdajích na rekvalifikace poskytovaných úřady práce, tedy o výši veřejných prostředků investovaných do vzdělávání dospělých za účelem zvyšování zaměstnanosti a zaměstnatelnosti.</w:t>
            </w:r>
          </w:p>
        </w:tc>
      </w:tr>
      <w:tr w:rsidR="00822069" w:rsidRPr="00025B12" w:rsidTr="00672756">
        <w:trPr>
          <w:trHeight w:val="1485"/>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822069" w:rsidRPr="00025B12" w:rsidRDefault="00822069" w:rsidP="00A9209D">
            <w:pPr>
              <w:jc w:val="both"/>
              <w:rPr>
                <w:rFonts w:ascii="Verdana" w:hAnsi="Verdana"/>
                <w:sz w:val="18"/>
                <w:szCs w:val="18"/>
              </w:rPr>
            </w:pPr>
            <w:r w:rsidRPr="00025B12">
              <w:rPr>
                <w:rFonts w:ascii="Verdana" w:hAnsi="Verdana"/>
                <w:sz w:val="18"/>
                <w:szCs w:val="18"/>
              </w:rPr>
              <w:t>Indikátor je pro krajské srovnání vypočten jako podíl objemu prostředků na rekvalifikace k počtu nezaměstnaných. Prostředky na rekvalifikace zahrnují prostředky na rekvalifikaci</w:t>
            </w:r>
            <w:r w:rsidR="00052D0E" w:rsidRPr="00025B12">
              <w:rPr>
                <w:rFonts w:ascii="Verdana" w:hAnsi="Verdana"/>
                <w:sz w:val="18"/>
                <w:szCs w:val="18"/>
              </w:rPr>
              <w:t xml:space="preserve"> dle zákona o zaměstnanosti</w:t>
            </w:r>
            <w:r w:rsidRPr="00025B12">
              <w:rPr>
                <w:rFonts w:ascii="Verdana" w:hAnsi="Verdana"/>
                <w:sz w:val="18"/>
                <w:szCs w:val="18"/>
              </w:rPr>
              <w:t xml:space="preserve">, nikoli investiční pobídky na rekvalifikace zaměstnanců. Od roku 2008 dále zahrnují i prostředky na rekvalifikaci z fondů EU. Za nezaměstnané jsou v případě tohoto výpočtu považováni uchazeči o zaměstnání evidovaní k 31.12. daného roku. Doprovodným údajem k indikátoru je absolutní výše výdajů na rekvalifikace. </w:t>
            </w:r>
          </w:p>
          <w:p w:rsidR="00822069" w:rsidRPr="00025B12" w:rsidRDefault="00822069" w:rsidP="00A9209D">
            <w:pPr>
              <w:jc w:val="both"/>
              <w:rPr>
                <w:rFonts w:ascii="Verdana" w:hAnsi="Verdana"/>
                <w:sz w:val="18"/>
                <w:szCs w:val="18"/>
              </w:rPr>
            </w:pPr>
            <w:r w:rsidRPr="00025B12">
              <w:rPr>
                <w:rFonts w:ascii="Verdana" w:hAnsi="Verdana"/>
                <w:sz w:val="18"/>
                <w:szCs w:val="18"/>
              </w:rPr>
              <w:t>V případě regionálních ukazatelů doprovodný údaj indikátoru nemá příliš vysokou vypovídací hodnotu, neboť potřeba rekvalifikací je v jednotlivých krajích rozdílná. Právě podílový ukazatel tento údaj očišťuje o mezikrajské rozdíly týkající se zejména počtu nezaměstnaných a jejich struktury.</w:t>
            </w:r>
          </w:p>
          <w:p w:rsidR="00822069" w:rsidRPr="00025B12" w:rsidRDefault="00822069" w:rsidP="00A9209D">
            <w:pPr>
              <w:jc w:val="both"/>
              <w:rPr>
                <w:rFonts w:ascii="Verdana" w:hAnsi="Verdana"/>
                <w:sz w:val="18"/>
                <w:szCs w:val="18"/>
              </w:rPr>
            </w:pPr>
            <w:r w:rsidRPr="00025B12">
              <w:rPr>
                <w:rFonts w:ascii="Verdana" w:hAnsi="Verdana"/>
                <w:sz w:val="18"/>
                <w:szCs w:val="18"/>
              </w:rPr>
              <w:t>V mezinárodním srovnání obsahuje indikátor údaj o výdajích pro jednotlivce na vzdělávání v rámci politiky zaměstnanosti jako podíl na HDP (v %).</w:t>
            </w:r>
          </w:p>
        </w:tc>
      </w:tr>
      <w:tr w:rsidR="00822069" w:rsidRPr="00025B12" w:rsidTr="00672756">
        <w:trPr>
          <w:trHeight w:val="1053"/>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822069" w:rsidRPr="00025B12" w:rsidRDefault="00822069" w:rsidP="00A9209D">
            <w:pPr>
              <w:jc w:val="both"/>
              <w:rPr>
                <w:rFonts w:ascii="Verdana" w:hAnsi="Verdana"/>
                <w:sz w:val="18"/>
                <w:szCs w:val="18"/>
              </w:rPr>
            </w:pPr>
            <w:r w:rsidRPr="00025B12">
              <w:rPr>
                <w:rFonts w:ascii="Verdana" w:hAnsi="Verdana"/>
                <w:sz w:val="18"/>
                <w:szCs w:val="18"/>
              </w:rPr>
              <w:t>Zdrojem dat pro výpočet indikátoru jsou statistiky MPSV (resp. úřadů práce). Údaje jsou k dispozici i v krajském členění. V mezinárodním srovnání je indikátor přebírán z webových stránek Eurostatu.</w:t>
            </w:r>
          </w:p>
        </w:tc>
      </w:tr>
      <w:tr w:rsidR="00822069" w:rsidRPr="00025B12" w:rsidTr="00672756">
        <w:trPr>
          <w:trHeight w:val="837"/>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822069" w:rsidRPr="00025B12" w:rsidRDefault="00822069" w:rsidP="00C04695">
            <w:pPr>
              <w:jc w:val="both"/>
              <w:rPr>
                <w:rFonts w:ascii="Verdana" w:hAnsi="Verdana"/>
                <w:sz w:val="18"/>
                <w:szCs w:val="18"/>
              </w:rPr>
            </w:pPr>
            <w:r w:rsidRPr="00025B12">
              <w:rPr>
                <w:rFonts w:ascii="Verdana" w:hAnsi="Verdana"/>
                <w:sz w:val="18"/>
                <w:szCs w:val="18"/>
              </w:rPr>
              <w:t>Objem výdajů na rekvalifikace zahrnuje i zaměstnanecké rekvalifikace, ty ale tvoří tak malé procento (cca 2%), že indikátor vztahující obje</w:t>
            </w:r>
            <w:r w:rsidR="00C04695" w:rsidRPr="00025B12">
              <w:rPr>
                <w:rFonts w:ascii="Verdana" w:hAnsi="Verdana"/>
                <w:sz w:val="18"/>
                <w:szCs w:val="18"/>
              </w:rPr>
              <w:t>m</w:t>
            </w:r>
            <w:r w:rsidRPr="00025B12">
              <w:rPr>
                <w:rFonts w:ascii="Verdana" w:hAnsi="Verdana"/>
                <w:sz w:val="18"/>
                <w:szCs w:val="18"/>
              </w:rPr>
              <w:t xml:space="preserve"> prostředků k počtu nezaměstnaných není nijak významně zkreslen.</w:t>
            </w:r>
          </w:p>
        </w:tc>
      </w:tr>
    </w:tbl>
    <w:p w:rsidR="000D0C0E" w:rsidRPr="00025B12" w:rsidRDefault="000D0C0E" w:rsidP="00822069"/>
    <w:p w:rsidR="000D0C0E" w:rsidRPr="00025B12" w:rsidRDefault="000D0C0E" w:rsidP="00822069">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9"/>
        <w:gridCol w:w="1618"/>
        <w:gridCol w:w="2268"/>
        <w:gridCol w:w="2089"/>
        <w:gridCol w:w="1884"/>
      </w:tblGrid>
      <w:tr w:rsidR="000D0C0E" w:rsidRPr="00025B12" w:rsidTr="00D131AA">
        <w:trPr>
          <w:trHeight w:val="425"/>
        </w:trPr>
        <w:tc>
          <w:tcPr>
            <w:tcW w:w="1452" w:type="dxa"/>
            <w:tcBorders>
              <w:bottom w:val="single" w:sz="4" w:space="0" w:color="auto"/>
              <w:right w:val="single" w:sz="4" w:space="0" w:color="auto"/>
            </w:tcBorders>
            <w:shd w:val="clear" w:color="auto" w:fill="663399"/>
            <w:vAlign w:val="center"/>
          </w:tcPr>
          <w:p w:rsidR="000D0C0E" w:rsidRPr="00025B12" w:rsidRDefault="000D0C0E" w:rsidP="00D131AA">
            <w:pPr>
              <w:pStyle w:val="Kd"/>
              <w:rPr>
                <w:sz w:val="18"/>
                <w:szCs w:val="18"/>
              </w:rPr>
            </w:pPr>
            <w:r w:rsidRPr="00025B12">
              <w:rPr>
                <w:sz w:val="18"/>
                <w:szCs w:val="18"/>
              </w:rPr>
              <w:br w:type="page"/>
            </w:r>
            <w:r w:rsidRPr="00025B12">
              <w:rPr>
                <w:sz w:val="18"/>
                <w:szCs w:val="18"/>
              </w:rPr>
              <w:br w:type="page"/>
            </w:r>
            <w:bookmarkStart w:id="76" w:name="II35"/>
            <w:r w:rsidRPr="00025B12">
              <w:rPr>
                <w:sz w:val="18"/>
                <w:szCs w:val="18"/>
              </w:rPr>
              <w:t>II.3.</w:t>
            </w:r>
            <w:bookmarkEnd w:id="76"/>
            <w:r w:rsidRPr="00025B12">
              <w:rPr>
                <w:sz w:val="18"/>
                <w:szCs w:val="18"/>
              </w:rPr>
              <w:t>2</w:t>
            </w:r>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0D0C0E" w:rsidRPr="00025B12" w:rsidRDefault="000D0C0E"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Příjmy zaměstnavatelů na další odborné vzdělávání z dotací a společných fondů</w:t>
            </w:r>
          </w:p>
        </w:tc>
      </w:tr>
      <w:tr w:rsidR="000D0C0E" w:rsidRPr="00025B12" w:rsidTr="00D131AA">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0D0C0E" w:rsidRPr="00025B12" w:rsidRDefault="000D0C0E"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36" w:type="dxa"/>
            <w:gridSpan w:val="4"/>
            <w:vMerge/>
            <w:tcBorders>
              <w:left w:val="single" w:sz="4" w:space="0" w:color="auto"/>
              <w:bottom w:val="single" w:sz="4" w:space="0" w:color="auto"/>
              <w:right w:val="single" w:sz="4" w:space="0" w:color="auto"/>
            </w:tcBorders>
            <w:vAlign w:val="center"/>
          </w:tcPr>
          <w:p w:rsidR="000D0C0E" w:rsidRPr="00025B12" w:rsidRDefault="000D0C0E" w:rsidP="00D131AA">
            <w:pPr>
              <w:spacing w:after="0" w:line="240" w:lineRule="auto"/>
              <w:jc w:val="center"/>
              <w:rPr>
                <w:rFonts w:ascii="Verdana" w:eastAsiaTheme="minorHAnsi" w:hAnsi="Verdana" w:cstheme="minorBidi"/>
                <w:sz w:val="18"/>
                <w:szCs w:val="18"/>
              </w:rPr>
            </w:pPr>
          </w:p>
        </w:tc>
      </w:tr>
      <w:tr w:rsidR="000D0C0E" w:rsidRPr="00025B12" w:rsidTr="00296FE3">
        <w:trPr>
          <w:trHeight w:val="360"/>
        </w:trPr>
        <w:tc>
          <w:tcPr>
            <w:tcW w:w="1452" w:type="dxa"/>
            <w:tcBorders>
              <w:top w:val="single" w:sz="4" w:space="0" w:color="auto"/>
              <w:bottom w:val="dotted" w:sz="4" w:space="0" w:color="auto"/>
              <w:right w:val="dotted" w:sz="4" w:space="0" w:color="auto"/>
            </w:tcBorders>
          </w:tcPr>
          <w:p w:rsidR="000D0C0E" w:rsidRPr="00025B12" w:rsidRDefault="000D0C0E" w:rsidP="00D131AA">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0D0C0E" w:rsidRPr="00025B12" w:rsidRDefault="000D0C0E"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0D0C0E" w:rsidRPr="00025B12" w:rsidRDefault="000D0C0E"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0D0C0E" w:rsidRPr="00025B12" w:rsidRDefault="000D0C0E"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0D0C0E" w:rsidRPr="00025B12" w:rsidRDefault="000D0C0E"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0D0C0E" w:rsidRPr="00025B12" w:rsidTr="00D131AA">
        <w:trPr>
          <w:trHeight w:val="360"/>
        </w:trPr>
        <w:tc>
          <w:tcPr>
            <w:tcW w:w="1452" w:type="dxa"/>
            <w:tcBorders>
              <w:top w:val="dotted" w:sz="4" w:space="0" w:color="auto"/>
              <w:bottom w:val="dotted" w:sz="4" w:space="0" w:color="auto"/>
              <w:right w:val="dotted" w:sz="4" w:space="0" w:color="auto"/>
            </w:tcBorders>
          </w:tcPr>
          <w:p w:rsidR="000D0C0E" w:rsidRPr="00025B12" w:rsidRDefault="000D0C0E"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0D0C0E" w:rsidRPr="00025B12" w:rsidRDefault="00665F1D" w:rsidP="00D131AA">
            <w:pPr>
              <w:spacing w:after="0" w:line="240" w:lineRule="auto"/>
              <w:jc w:val="center"/>
              <w:rPr>
                <w:rFonts w:ascii="Verdana" w:eastAsiaTheme="minorHAnsi" w:hAnsi="Verdana" w:cstheme="minorBidi"/>
                <w:sz w:val="18"/>
                <w:szCs w:val="18"/>
              </w:rPr>
            </w:pPr>
            <w:hyperlink w:anchor="CVTS" w:history="1">
              <w:r w:rsidR="000D0C0E" w:rsidRPr="00025B12">
                <w:rPr>
                  <w:rStyle w:val="Hypertextovodkaz"/>
                  <w:rFonts w:ascii="Verdana" w:eastAsiaTheme="minorHAnsi" w:hAnsi="Verdana" w:cstheme="minorBidi"/>
                  <w:sz w:val="18"/>
                  <w:szCs w:val="18"/>
                </w:rPr>
                <w:t>CVTS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0D0C0E" w:rsidRPr="00025B12" w:rsidRDefault="000D0C0E"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26" w:type="dxa"/>
            <w:tcBorders>
              <w:top w:val="dotted" w:sz="4" w:space="0" w:color="auto"/>
              <w:left w:val="dotted" w:sz="4" w:space="0" w:color="auto"/>
              <w:bottom w:val="dotted" w:sz="4" w:space="0" w:color="auto"/>
              <w:right w:val="dotted" w:sz="4" w:space="0" w:color="auto"/>
            </w:tcBorders>
            <w:vAlign w:val="center"/>
          </w:tcPr>
          <w:p w:rsidR="000D0C0E" w:rsidRPr="00025B12" w:rsidRDefault="000D0C0E"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bottom w:val="dotted" w:sz="4" w:space="0" w:color="auto"/>
            </w:tcBorders>
            <w:vAlign w:val="center"/>
          </w:tcPr>
          <w:p w:rsidR="000D0C0E" w:rsidRPr="00025B12" w:rsidRDefault="000D0C0E"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0D0C0E" w:rsidRPr="00025B12" w:rsidTr="00D131AA">
        <w:trPr>
          <w:trHeight w:val="360"/>
        </w:trPr>
        <w:tc>
          <w:tcPr>
            <w:tcW w:w="1452" w:type="dxa"/>
            <w:tcBorders>
              <w:top w:val="dotted" w:sz="4" w:space="0" w:color="auto"/>
              <w:bottom w:val="dotted" w:sz="4" w:space="0" w:color="auto"/>
              <w:right w:val="dotted" w:sz="4" w:space="0" w:color="auto"/>
            </w:tcBorders>
          </w:tcPr>
          <w:p w:rsidR="000D0C0E" w:rsidRPr="00025B12" w:rsidRDefault="000D0C0E"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0D0C0E" w:rsidRPr="00025B12" w:rsidRDefault="00665F1D" w:rsidP="00D131AA">
            <w:pPr>
              <w:spacing w:after="0" w:line="240" w:lineRule="auto"/>
              <w:jc w:val="center"/>
              <w:rPr>
                <w:rFonts w:ascii="Verdana" w:eastAsiaTheme="minorHAnsi" w:hAnsi="Verdana" w:cstheme="minorBidi"/>
                <w:sz w:val="18"/>
                <w:szCs w:val="18"/>
              </w:rPr>
            </w:pPr>
            <w:hyperlink w:anchor="CVTS" w:history="1">
              <w:r w:rsidR="000D0C0E" w:rsidRPr="00025B12">
                <w:rPr>
                  <w:rStyle w:val="Hypertextovodkaz"/>
                  <w:rFonts w:ascii="Verdana" w:eastAsiaTheme="minorHAnsi" w:hAnsi="Verdana" w:cstheme="minorBidi"/>
                  <w:sz w:val="18"/>
                  <w:szCs w:val="18"/>
                </w:rPr>
                <w:t>CVTS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0D0C0E" w:rsidRPr="00025B12" w:rsidRDefault="000D0C0E"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bottom w:val="dotted" w:sz="4" w:space="0" w:color="auto"/>
              <w:right w:val="dotted" w:sz="4" w:space="0" w:color="auto"/>
            </w:tcBorders>
            <w:vAlign w:val="center"/>
          </w:tcPr>
          <w:p w:rsidR="000D0C0E" w:rsidRPr="00025B12" w:rsidRDefault="000D0C0E"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bottom w:val="dotted" w:sz="4" w:space="0" w:color="auto"/>
            </w:tcBorders>
            <w:vAlign w:val="center"/>
          </w:tcPr>
          <w:p w:rsidR="000D0C0E" w:rsidRPr="00025B12" w:rsidRDefault="000D0C0E"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0D0C0E" w:rsidRPr="00025B12" w:rsidTr="00D131AA">
        <w:trPr>
          <w:trHeight w:val="360"/>
        </w:trPr>
        <w:tc>
          <w:tcPr>
            <w:tcW w:w="1452" w:type="dxa"/>
            <w:tcBorders>
              <w:top w:val="dotted" w:sz="4" w:space="0" w:color="auto"/>
              <w:right w:val="dotted" w:sz="4" w:space="0" w:color="auto"/>
            </w:tcBorders>
          </w:tcPr>
          <w:p w:rsidR="000D0C0E" w:rsidRPr="00025B12" w:rsidRDefault="000D0C0E"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0D0C0E" w:rsidRPr="00025B12" w:rsidRDefault="000D0C0E"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303" w:type="dxa"/>
            <w:tcBorders>
              <w:top w:val="dotted" w:sz="4" w:space="0" w:color="auto"/>
              <w:left w:val="dotted" w:sz="4" w:space="0" w:color="auto"/>
              <w:right w:val="dotted" w:sz="4" w:space="0" w:color="auto"/>
            </w:tcBorders>
            <w:vAlign w:val="center"/>
          </w:tcPr>
          <w:p w:rsidR="000D0C0E" w:rsidRPr="00025B12" w:rsidRDefault="000D0C0E"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26" w:type="dxa"/>
            <w:tcBorders>
              <w:top w:val="dotted" w:sz="4" w:space="0" w:color="auto"/>
              <w:left w:val="dotted" w:sz="4" w:space="0" w:color="auto"/>
              <w:right w:val="dotted" w:sz="4" w:space="0" w:color="auto"/>
            </w:tcBorders>
            <w:vAlign w:val="center"/>
          </w:tcPr>
          <w:p w:rsidR="000D0C0E" w:rsidRPr="00025B12" w:rsidRDefault="000D0C0E"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49" w:type="dxa"/>
            <w:tcBorders>
              <w:top w:val="dotted" w:sz="4" w:space="0" w:color="auto"/>
              <w:left w:val="dotted" w:sz="4" w:space="0" w:color="auto"/>
            </w:tcBorders>
            <w:vAlign w:val="center"/>
          </w:tcPr>
          <w:p w:rsidR="000D0C0E" w:rsidRPr="00025B12" w:rsidRDefault="000D0C0E"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0D0C0E" w:rsidRPr="00025B12" w:rsidTr="00D131AA">
        <w:trPr>
          <w:trHeight w:val="274"/>
        </w:trPr>
        <w:tc>
          <w:tcPr>
            <w:tcW w:w="7539" w:type="dxa"/>
            <w:gridSpan w:val="4"/>
            <w:shd w:val="clear" w:color="auto" w:fill="663399"/>
          </w:tcPr>
          <w:p w:rsidR="000D0C0E" w:rsidRPr="00025B12" w:rsidRDefault="000D0C0E" w:rsidP="00D131AA">
            <w:pPr>
              <w:spacing w:after="0" w:line="240" w:lineRule="auto"/>
              <w:jc w:val="center"/>
              <w:rPr>
                <w:rFonts w:ascii="Verdana" w:eastAsiaTheme="minorHAnsi" w:hAnsi="Verdana" w:cstheme="minorBidi"/>
                <w:sz w:val="18"/>
                <w:szCs w:val="18"/>
              </w:rPr>
            </w:pPr>
          </w:p>
        </w:tc>
        <w:tc>
          <w:tcPr>
            <w:tcW w:w="1749" w:type="dxa"/>
            <w:shd w:val="clear" w:color="auto" w:fill="663399"/>
          </w:tcPr>
          <w:p w:rsidR="000D0C0E" w:rsidRPr="00025B12" w:rsidRDefault="000D0C0E" w:rsidP="00D131AA">
            <w:pPr>
              <w:spacing w:after="0" w:line="240" w:lineRule="auto"/>
              <w:jc w:val="center"/>
              <w:rPr>
                <w:rFonts w:ascii="Verdana" w:eastAsiaTheme="minorHAnsi" w:hAnsi="Verdana" w:cstheme="minorBidi"/>
                <w:sz w:val="18"/>
                <w:szCs w:val="18"/>
              </w:rPr>
            </w:pPr>
          </w:p>
        </w:tc>
      </w:tr>
      <w:tr w:rsidR="000D0C0E" w:rsidRPr="00025B12" w:rsidTr="00D131AA">
        <w:trPr>
          <w:trHeight w:val="1319"/>
        </w:trPr>
        <w:tc>
          <w:tcPr>
            <w:tcW w:w="9288" w:type="dxa"/>
            <w:gridSpan w:val="5"/>
          </w:tcPr>
          <w:p w:rsidR="000D0C0E" w:rsidRPr="00025B12" w:rsidRDefault="000D0C0E"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0D0C0E" w:rsidRPr="00025B12" w:rsidRDefault="000D0C0E" w:rsidP="00BC458A">
            <w:pPr>
              <w:jc w:val="both"/>
              <w:rPr>
                <w:rFonts w:ascii="Verdana" w:hAnsi="Verdana"/>
                <w:sz w:val="18"/>
                <w:szCs w:val="18"/>
              </w:rPr>
            </w:pPr>
            <w:r w:rsidRPr="00025B12">
              <w:rPr>
                <w:rFonts w:ascii="Verdana" w:hAnsi="Verdana"/>
                <w:sz w:val="18"/>
                <w:szCs w:val="18"/>
              </w:rPr>
              <w:t>Indikátor tvoří umožňuje identifikovat, do jaké míry je společná podpora dalšího vzdělávání významnou složkou financování podnikového vzdělávání a v jaké míře naopak nesou podniky náklady individuálně. Nízká hodnota indikátoru značí, že financování dalšího vzdělávání leží plně na jednotlivých podnicích, teoretická hodnota 100% by znamenala, že veškeré náklady na kurzy DOV jsou pokryty z jiných než individuálních zdrojů podniku.</w:t>
            </w:r>
          </w:p>
        </w:tc>
      </w:tr>
      <w:tr w:rsidR="000D0C0E" w:rsidRPr="00025B12" w:rsidTr="00D131AA">
        <w:trPr>
          <w:trHeight w:val="1485"/>
        </w:trPr>
        <w:tc>
          <w:tcPr>
            <w:tcW w:w="9288" w:type="dxa"/>
            <w:gridSpan w:val="5"/>
          </w:tcPr>
          <w:p w:rsidR="000D0C0E" w:rsidRPr="00025B12" w:rsidRDefault="000D0C0E"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B50813" w:rsidRPr="00025B12" w:rsidRDefault="000D0C0E" w:rsidP="00D131AA">
            <w:pPr>
              <w:jc w:val="both"/>
              <w:rPr>
                <w:rFonts w:ascii="Verdana" w:hAnsi="Verdana"/>
                <w:sz w:val="18"/>
                <w:szCs w:val="18"/>
              </w:rPr>
            </w:pPr>
            <w:r w:rsidRPr="00025B12">
              <w:rPr>
                <w:rFonts w:ascii="Verdana" w:hAnsi="Verdana"/>
                <w:sz w:val="18"/>
                <w:szCs w:val="18"/>
              </w:rPr>
              <w:t xml:space="preserve">Do dotací a společných fondů je zahrnuta podpora ve formě dotací, či ze společných fondů založených zaměstnavatelskými svazy, sektorovými seskupeními apod. či jiná finanční pomoc na kurzy dalšího odborného vzdělávání od vlády či z jiných zdrojů. Indikátor je vypočítán jako </w:t>
            </w:r>
            <w:r w:rsidR="00B50813" w:rsidRPr="00025B12">
              <w:rPr>
                <w:rFonts w:ascii="Verdana" w:hAnsi="Verdana"/>
                <w:sz w:val="18"/>
                <w:szCs w:val="18"/>
              </w:rPr>
              <w:t>relace</w:t>
            </w:r>
            <w:r w:rsidRPr="00025B12">
              <w:rPr>
                <w:rFonts w:ascii="Verdana" w:hAnsi="Verdana"/>
                <w:sz w:val="18"/>
                <w:szCs w:val="18"/>
              </w:rPr>
              <w:t xml:space="preserve"> příspěvků z takovýchto </w:t>
            </w:r>
            <w:r w:rsidR="00B50813" w:rsidRPr="00025B12">
              <w:rPr>
                <w:rFonts w:ascii="Verdana" w:hAnsi="Verdana"/>
                <w:sz w:val="18"/>
                <w:szCs w:val="18"/>
              </w:rPr>
              <w:t>společných zdrojů financování k celkovým nákladům</w:t>
            </w:r>
            <w:r w:rsidRPr="00025B12">
              <w:rPr>
                <w:rFonts w:ascii="Verdana" w:hAnsi="Verdana"/>
                <w:sz w:val="18"/>
                <w:szCs w:val="18"/>
              </w:rPr>
              <w:t xml:space="preserve"> podniku na kurzy DOV v procentech. </w:t>
            </w:r>
          </w:p>
          <w:p w:rsidR="000D0C0E" w:rsidRPr="00025B12" w:rsidRDefault="00B50813" w:rsidP="00B50813">
            <w:pPr>
              <w:jc w:val="both"/>
              <w:rPr>
                <w:rFonts w:ascii="Verdana" w:hAnsi="Verdana"/>
                <w:sz w:val="18"/>
                <w:szCs w:val="18"/>
              </w:rPr>
            </w:pPr>
            <w:r w:rsidRPr="00025B12">
              <w:rPr>
                <w:rFonts w:ascii="Verdana" w:hAnsi="Verdana"/>
                <w:sz w:val="18"/>
                <w:szCs w:val="18"/>
              </w:rPr>
              <w:t>Platí přitom, že celkové náklady na kurzy = přímé náklady na vzdělávání + náklady práce účastníků + příspěvky do společných fondů - příjmy ze společných fondů. Příjmy ze společných fondů tedy nejsou podílem na nákladech, indikátor pouze ukazuje relativní poměr financí na vzdělávání, které podnik získal z jiných zdrojů k financím vydaných z vlastních zdrojů podniku.</w:t>
            </w:r>
          </w:p>
        </w:tc>
      </w:tr>
      <w:tr w:rsidR="000D0C0E" w:rsidRPr="00025B12" w:rsidTr="00D131AA">
        <w:trPr>
          <w:trHeight w:val="1053"/>
        </w:trPr>
        <w:tc>
          <w:tcPr>
            <w:tcW w:w="9288" w:type="dxa"/>
            <w:gridSpan w:val="5"/>
          </w:tcPr>
          <w:p w:rsidR="000D0C0E" w:rsidRPr="00025B12" w:rsidRDefault="000D0C0E"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0D0C0E" w:rsidRPr="00025B12" w:rsidRDefault="000D0C0E" w:rsidP="00D131AA">
            <w:pPr>
              <w:jc w:val="both"/>
              <w:rPr>
                <w:rFonts w:ascii="Verdana" w:hAnsi="Verdana"/>
                <w:sz w:val="18"/>
                <w:szCs w:val="18"/>
              </w:rPr>
            </w:pPr>
            <w:r w:rsidRPr="00025B12">
              <w:rPr>
                <w:rFonts w:ascii="Verdana" w:hAnsi="Verdana"/>
                <w:sz w:val="18"/>
                <w:szCs w:val="18"/>
              </w:rPr>
              <w:t>Data jsou převzata z databáze Eurostatu, v regionálním členění nejsou k dispozici.</w:t>
            </w:r>
          </w:p>
        </w:tc>
      </w:tr>
      <w:tr w:rsidR="000D0C0E" w:rsidRPr="00025B12" w:rsidTr="00D131AA">
        <w:trPr>
          <w:trHeight w:val="837"/>
        </w:trPr>
        <w:tc>
          <w:tcPr>
            <w:tcW w:w="9288" w:type="dxa"/>
            <w:gridSpan w:val="5"/>
          </w:tcPr>
          <w:p w:rsidR="000D0C0E" w:rsidRPr="00025B12" w:rsidRDefault="000D0C0E"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0D0C0E" w:rsidRPr="00025B12" w:rsidRDefault="000D0C0E" w:rsidP="00D131AA">
            <w:pPr>
              <w:autoSpaceDE w:val="0"/>
              <w:autoSpaceDN w:val="0"/>
              <w:adjustRightInd w:val="0"/>
              <w:spacing w:after="0" w:line="240" w:lineRule="auto"/>
              <w:rPr>
                <w:rFonts w:ascii="Verdana" w:hAnsi="Verdana"/>
                <w:sz w:val="18"/>
                <w:szCs w:val="18"/>
              </w:rPr>
            </w:pPr>
          </w:p>
        </w:tc>
      </w:tr>
    </w:tbl>
    <w:p w:rsidR="00822069" w:rsidRPr="00025B12" w:rsidRDefault="00822069" w:rsidP="00822069">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58"/>
        <w:gridCol w:w="2303"/>
        <w:gridCol w:w="2126"/>
        <w:gridCol w:w="1749"/>
      </w:tblGrid>
      <w:tr w:rsidR="00822069" w:rsidRPr="00025B12" w:rsidTr="00A939C3">
        <w:trPr>
          <w:trHeight w:val="425"/>
        </w:trPr>
        <w:tc>
          <w:tcPr>
            <w:tcW w:w="1452" w:type="dxa"/>
            <w:tcBorders>
              <w:bottom w:val="single" w:sz="4" w:space="0" w:color="auto"/>
              <w:right w:val="single" w:sz="4" w:space="0" w:color="auto"/>
            </w:tcBorders>
            <w:shd w:val="clear" w:color="auto" w:fill="663399"/>
            <w:vAlign w:val="center"/>
          </w:tcPr>
          <w:p w:rsidR="00822069" w:rsidRPr="00025B12" w:rsidRDefault="00822069" w:rsidP="00A9209D">
            <w:pPr>
              <w:pStyle w:val="Kd"/>
              <w:rPr>
                <w:sz w:val="18"/>
                <w:szCs w:val="18"/>
              </w:rPr>
            </w:pPr>
            <w:r w:rsidRPr="00025B12">
              <w:rPr>
                <w:sz w:val="18"/>
                <w:szCs w:val="18"/>
              </w:rPr>
              <w:br w:type="page"/>
            </w:r>
            <w:r w:rsidRPr="00025B12">
              <w:rPr>
                <w:sz w:val="18"/>
                <w:szCs w:val="18"/>
              </w:rPr>
              <w:br w:type="page"/>
            </w:r>
            <w:bookmarkStart w:id="77" w:name="II32"/>
            <w:r w:rsidRPr="00025B12">
              <w:rPr>
                <w:sz w:val="18"/>
                <w:szCs w:val="18"/>
              </w:rPr>
              <w:t>II.3.</w:t>
            </w:r>
            <w:bookmarkEnd w:id="77"/>
            <w:r w:rsidR="008D36D8" w:rsidRPr="00025B12">
              <w:rPr>
                <w:sz w:val="18"/>
                <w:szCs w:val="18"/>
              </w:rPr>
              <w:t>d1</w:t>
            </w:r>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A655FE" w:rsidRPr="00025B12" w:rsidRDefault="00A655FE" w:rsidP="00A655FE">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Investiční pobídky na rekvalifikace</w:t>
            </w:r>
          </w:p>
        </w:tc>
      </w:tr>
      <w:tr w:rsidR="00822069" w:rsidRPr="00025B12" w:rsidTr="00A939C3">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822069" w:rsidRPr="00025B12" w:rsidRDefault="00A2004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36" w:type="dxa"/>
            <w:gridSpan w:val="4"/>
            <w:vMerge/>
            <w:tcBorders>
              <w:left w:val="single" w:sz="4" w:space="0" w:color="auto"/>
              <w:bottom w:val="single" w:sz="4" w:space="0" w:color="auto"/>
              <w:right w:val="single" w:sz="4" w:space="0" w:color="auto"/>
            </w:tcBorders>
            <w:vAlign w:val="center"/>
          </w:tcPr>
          <w:p w:rsidR="00822069" w:rsidRPr="00025B12" w:rsidRDefault="00822069" w:rsidP="00A9209D">
            <w:pPr>
              <w:spacing w:after="0" w:line="240" w:lineRule="auto"/>
              <w:jc w:val="center"/>
              <w:rPr>
                <w:rFonts w:ascii="Verdana" w:eastAsiaTheme="minorHAnsi" w:hAnsi="Verdana" w:cstheme="minorBidi"/>
                <w:sz w:val="18"/>
                <w:szCs w:val="18"/>
              </w:rPr>
            </w:pPr>
          </w:p>
        </w:tc>
      </w:tr>
      <w:tr w:rsidR="00822069" w:rsidRPr="00025B12" w:rsidTr="00296FE3">
        <w:trPr>
          <w:trHeight w:val="360"/>
        </w:trPr>
        <w:tc>
          <w:tcPr>
            <w:tcW w:w="1452" w:type="dxa"/>
            <w:tcBorders>
              <w:top w:val="single" w:sz="4" w:space="0" w:color="auto"/>
              <w:bottom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822069" w:rsidRPr="00025B12" w:rsidRDefault="00822069"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822069" w:rsidRPr="00025B12" w:rsidTr="00A939C3">
        <w:trPr>
          <w:trHeight w:val="360"/>
        </w:trPr>
        <w:tc>
          <w:tcPr>
            <w:tcW w:w="1452" w:type="dxa"/>
            <w:tcBorders>
              <w:top w:val="dotted" w:sz="4" w:space="0" w:color="auto"/>
              <w:bottom w:val="dotted" w:sz="4" w:space="0" w:color="auto"/>
              <w:right w:val="dotted" w:sz="4" w:space="0" w:color="auto"/>
            </w:tcBorders>
          </w:tcPr>
          <w:p w:rsidR="00822069" w:rsidRPr="00025B12" w:rsidRDefault="0082206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822069" w:rsidRPr="00025B12" w:rsidRDefault="00A939C3"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303" w:type="dxa"/>
            <w:tcBorders>
              <w:top w:val="dotted" w:sz="4" w:space="0" w:color="auto"/>
              <w:left w:val="dotted" w:sz="4" w:space="0" w:color="auto"/>
              <w:bottom w:val="dotted" w:sz="4" w:space="0" w:color="auto"/>
              <w:right w:val="dotted" w:sz="4" w:space="0" w:color="auto"/>
            </w:tcBorders>
            <w:vAlign w:val="center"/>
          </w:tcPr>
          <w:p w:rsidR="00822069" w:rsidRPr="00025B12" w:rsidRDefault="00A939C3"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26" w:type="dxa"/>
            <w:tcBorders>
              <w:top w:val="dotted" w:sz="4" w:space="0" w:color="auto"/>
              <w:left w:val="dotted" w:sz="4" w:space="0" w:color="auto"/>
              <w:bottom w:val="dotted" w:sz="4" w:space="0" w:color="auto"/>
              <w:right w:val="dotted" w:sz="4" w:space="0" w:color="auto"/>
            </w:tcBorders>
            <w:vAlign w:val="center"/>
          </w:tcPr>
          <w:p w:rsidR="00822069" w:rsidRPr="00025B12" w:rsidRDefault="00A939C3"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49" w:type="dxa"/>
            <w:tcBorders>
              <w:top w:val="dotted" w:sz="4" w:space="0" w:color="auto"/>
              <w:left w:val="dotted" w:sz="4" w:space="0" w:color="auto"/>
              <w:bottom w:val="dotted" w:sz="4" w:space="0" w:color="auto"/>
            </w:tcBorders>
            <w:vAlign w:val="center"/>
          </w:tcPr>
          <w:p w:rsidR="00822069" w:rsidRPr="00025B12" w:rsidRDefault="00A939C3"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C94A3F" w:rsidRPr="00025B12" w:rsidTr="00A939C3">
        <w:trPr>
          <w:trHeight w:val="360"/>
        </w:trPr>
        <w:tc>
          <w:tcPr>
            <w:tcW w:w="1452" w:type="dxa"/>
            <w:tcBorders>
              <w:top w:val="dotted" w:sz="4" w:space="0" w:color="auto"/>
              <w:bottom w:val="dotted" w:sz="4" w:space="0" w:color="auto"/>
              <w:right w:val="dotted" w:sz="4" w:space="0" w:color="auto"/>
            </w:tcBorders>
          </w:tcPr>
          <w:p w:rsidR="00C94A3F" w:rsidRPr="00025B12" w:rsidRDefault="00C94A3F"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C94A3F" w:rsidRPr="00025B12" w:rsidRDefault="00C94A3F" w:rsidP="00382F2E">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Statistiky ÚP</w:t>
            </w:r>
          </w:p>
        </w:tc>
        <w:tc>
          <w:tcPr>
            <w:tcW w:w="2303" w:type="dxa"/>
            <w:tcBorders>
              <w:top w:val="dotted" w:sz="4" w:space="0" w:color="auto"/>
              <w:left w:val="dotted" w:sz="4" w:space="0" w:color="auto"/>
              <w:bottom w:val="dotted" w:sz="4" w:space="0" w:color="auto"/>
              <w:right w:val="dotted" w:sz="4" w:space="0" w:color="auto"/>
            </w:tcBorders>
            <w:vAlign w:val="center"/>
          </w:tcPr>
          <w:p w:rsidR="00C94A3F" w:rsidRPr="00025B12" w:rsidRDefault="00C94A3F" w:rsidP="00A939C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MPSV</w:t>
            </w:r>
          </w:p>
        </w:tc>
        <w:tc>
          <w:tcPr>
            <w:tcW w:w="2126" w:type="dxa"/>
            <w:tcBorders>
              <w:top w:val="dotted" w:sz="4" w:space="0" w:color="auto"/>
              <w:left w:val="dotted" w:sz="4" w:space="0" w:color="auto"/>
              <w:bottom w:val="dotted" w:sz="4" w:space="0" w:color="auto"/>
              <w:right w:val="dotted" w:sz="4" w:space="0" w:color="auto"/>
            </w:tcBorders>
            <w:vAlign w:val="center"/>
          </w:tcPr>
          <w:p w:rsidR="00C94A3F" w:rsidRPr="00025B12" w:rsidRDefault="00C94A3F" w:rsidP="00A939C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bottom w:val="dotted" w:sz="4" w:space="0" w:color="auto"/>
            </w:tcBorders>
            <w:vAlign w:val="center"/>
          </w:tcPr>
          <w:p w:rsidR="00C94A3F" w:rsidRPr="00025B12" w:rsidRDefault="00C94A3F" w:rsidP="00A939C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2000</w:t>
            </w:r>
          </w:p>
        </w:tc>
      </w:tr>
      <w:tr w:rsidR="00A939C3" w:rsidRPr="00025B12" w:rsidTr="00A939C3">
        <w:trPr>
          <w:trHeight w:val="360"/>
        </w:trPr>
        <w:tc>
          <w:tcPr>
            <w:tcW w:w="1452" w:type="dxa"/>
            <w:tcBorders>
              <w:top w:val="dotted" w:sz="4" w:space="0" w:color="auto"/>
              <w:right w:val="dotted" w:sz="4" w:space="0" w:color="auto"/>
            </w:tcBorders>
          </w:tcPr>
          <w:p w:rsidR="00A939C3" w:rsidRPr="00025B12" w:rsidRDefault="00A939C3"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A939C3" w:rsidRPr="00025B12" w:rsidRDefault="00C94A3F" w:rsidP="00A939C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Statistiky ÚP</w:t>
            </w:r>
          </w:p>
        </w:tc>
        <w:tc>
          <w:tcPr>
            <w:tcW w:w="2303" w:type="dxa"/>
            <w:tcBorders>
              <w:top w:val="dotted" w:sz="4" w:space="0" w:color="auto"/>
              <w:left w:val="dotted" w:sz="4" w:space="0" w:color="auto"/>
              <w:right w:val="dotted" w:sz="4" w:space="0" w:color="auto"/>
            </w:tcBorders>
            <w:vAlign w:val="center"/>
          </w:tcPr>
          <w:p w:rsidR="00A939C3" w:rsidRPr="00025B12" w:rsidRDefault="00A939C3" w:rsidP="00A939C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MPSV</w:t>
            </w:r>
          </w:p>
        </w:tc>
        <w:tc>
          <w:tcPr>
            <w:tcW w:w="2126" w:type="dxa"/>
            <w:tcBorders>
              <w:top w:val="dotted" w:sz="4" w:space="0" w:color="auto"/>
              <w:left w:val="dotted" w:sz="4" w:space="0" w:color="auto"/>
              <w:right w:val="dotted" w:sz="4" w:space="0" w:color="auto"/>
            </w:tcBorders>
            <w:vAlign w:val="center"/>
          </w:tcPr>
          <w:p w:rsidR="00A939C3" w:rsidRPr="00025B12" w:rsidRDefault="00A939C3" w:rsidP="00A939C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tcBorders>
            <w:vAlign w:val="center"/>
          </w:tcPr>
          <w:p w:rsidR="00A939C3" w:rsidRPr="00025B12" w:rsidRDefault="00A939C3" w:rsidP="00A939C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2000</w:t>
            </w:r>
          </w:p>
        </w:tc>
      </w:tr>
      <w:tr w:rsidR="00822069" w:rsidRPr="00025B12" w:rsidTr="00A939C3">
        <w:trPr>
          <w:trHeight w:val="274"/>
        </w:trPr>
        <w:tc>
          <w:tcPr>
            <w:tcW w:w="7539" w:type="dxa"/>
            <w:gridSpan w:val="4"/>
            <w:shd w:val="clear" w:color="auto" w:fill="663399"/>
          </w:tcPr>
          <w:p w:rsidR="00822069" w:rsidRPr="00025B12" w:rsidRDefault="00822069" w:rsidP="00A9209D">
            <w:pPr>
              <w:spacing w:after="0" w:line="240" w:lineRule="auto"/>
              <w:jc w:val="center"/>
              <w:rPr>
                <w:rFonts w:ascii="Verdana" w:eastAsiaTheme="minorHAnsi" w:hAnsi="Verdana" w:cstheme="minorBidi"/>
                <w:sz w:val="18"/>
                <w:szCs w:val="18"/>
              </w:rPr>
            </w:pPr>
          </w:p>
        </w:tc>
        <w:tc>
          <w:tcPr>
            <w:tcW w:w="1749" w:type="dxa"/>
            <w:shd w:val="clear" w:color="auto" w:fill="663399"/>
          </w:tcPr>
          <w:p w:rsidR="00822069" w:rsidRPr="00025B12" w:rsidRDefault="00822069" w:rsidP="00A9209D">
            <w:pPr>
              <w:spacing w:after="0" w:line="240" w:lineRule="auto"/>
              <w:jc w:val="center"/>
              <w:rPr>
                <w:rFonts w:ascii="Verdana" w:eastAsiaTheme="minorHAnsi" w:hAnsi="Verdana" w:cstheme="minorBidi"/>
                <w:sz w:val="18"/>
                <w:szCs w:val="18"/>
              </w:rPr>
            </w:pPr>
          </w:p>
        </w:tc>
      </w:tr>
      <w:tr w:rsidR="00822069" w:rsidRPr="00025B12" w:rsidTr="00A939C3">
        <w:trPr>
          <w:trHeight w:val="1319"/>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822069" w:rsidRPr="00025B12" w:rsidRDefault="00A939C3" w:rsidP="00A9209D">
            <w:pPr>
              <w:jc w:val="both"/>
              <w:rPr>
                <w:rFonts w:ascii="Verdana" w:hAnsi="Verdana"/>
                <w:sz w:val="18"/>
                <w:szCs w:val="18"/>
              </w:rPr>
            </w:pPr>
            <w:r w:rsidRPr="00025B12">
              <w:rPr>
                <w:rFonts w:ascii="Verdana" w:hAnsi="Verdana"/>
                <w:sz w:val="18"/>
                <w:szCs w:val="18"/>
              </w:rPr>
              <w:t xml:space="preserve">Indikátor tvoří doplňkovou informaci o dalších výdajích na rekvalifikace, které jsou poskytovány v rámci investičních pobídek. </w:t>
            </w:r>
          </w:p>
        </w:tc>
      </w:tr>
      <w:tr w:rsidR="00822069" w:rsidRPr="00025B12" w:rsidTr="009613E5">
        <w:trPr>
          <w:trHeight w:val="1977"/>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822069" w:rsidRPr="00025B12" w:rsidRDefault="00A939C3" w:rsidP="00A9209D">
            <w:pPr>
              <w:jc w:val="both"/>
              <w:rPr>
                <w:rFonts w:ascii="Verdana" w:hAnsi="Verdana"/>
                <w:sz w:val="18"/>
                <w:szCs w:val="18"/>
              </w:rPr>
            </w:pPr>
            <w:r w:rsidRPr="00025B12">
              <w:rPr>
                <w:rFonts w:ascii="Verdana" w:hAnsi="Verdana"/>
                <w:sz w:val="18"/>
                <w:szCs w:val="18"/>
              </w:rPr>
              <w:t>Indikátor zahrnuje objemy prostředků poskytovaných podnikům v rámci následujících programů: Rámcového programu technologická centra, strategické služby (MPO, Czechinvest) a Programu pro podporu tvorby nových pracovních míst v regionech nejvíce postižených nezaměstnaností - společný program MPO a MPSV. Indikátor uvádí objem finančních prostředků v daném roce.</w:t>
            </w:r>
          </w:p>
        </w:tc>
      </w:tr>
      <w:tr w:rsidR="00822069" w:rsidRPr="00025B12" w:rsidTr="00A939C3">
        <w:trPr>
          <w:trHeight w:val="1053"/>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822069" w:rsidRPr="00025B12" w:rsidRDefault="009E78F3" w:rsidP="00A9209D">
            <w:pPr>
              <w:jc w:val="both"/>
              <w:rPr>
                <w:rFonts w:ascii="Verdana" w:hAnsi="Verdana"/>
                <w:sz w:val="18"/>
                <w:szCs w:val="18"/>
              </w:rPr>
            </w:pPr>
            <w:r w:rsidRPr="00025B12">
              <w:rPr>
                <w:rFonts w:ascii="Verdana" w:hAnsi="Verdana"/>
                <w:sz w:val="18"/>
                <w:szCs w:val="18"/>
              </w:rPr>
              <w:t>Data jsou přebírána z Analýz trhu práce vydávaných MPSV.</w:t>
            </w:r>
          </w:p>
        </w:tc>
      </w:tr>
      <w:tr w:rsidR="00822069" w:rsidRPr="00025B12" w:rsidTr="00A939C3">
        <w:trPr>
          <w:trHeight w:val="837"/>
        </w:trPr>
        <w:tc>
          <w:tcPr>
            <w:tcW w:w="9288" w:type="dxa"/>
            <w:gridSpan w:val="5"/>
          </w:tcPr>
          <w:p w:rsidR="00822069" w:rsidRPr="00025B12" w:rsidRDefault="00822069"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822069" w:rsidRPr="00025B12" w:rsidRDefault="00052D0E" w:rsidP="00052D0E">
            <w:pPr>
              <w:jc w:val="both"/>
              <w:rPr>
                <w:rFonts w:ascii="Verdana" w:hAnsi="Verdana"/>
                <w:sz w:val="18"/>
                <w:szCs w:val="18"/>
              </w:rPr>
            </w:pPr>
            <w:r w:rsidRPr="00025B12">
              <w:rPr>
                <w:rFonts w:ascii="Verdana" w:hAnsi="Verdana"/>
                <w:sz w:val="18"/>
                <w:szCs w:val="18"/>
              </w:rPr>
              <w:t>N</w:t>
            </w:r>
            <w:r w:rsidR="00A939C3" w:rsidRPr="00025B12">
              <w:rPr>
                <w:rFonts w:ascii="Verdana" w:hAnsi="Verdana"/>
                <w:sz w:val="18"/>
                <w:szCs w:val="18"/>
              </w:rPr>
              <w:t>árok na podporu z  Programu pro podporu tvorby nových pracovních míst v regionech nejvíce postižených nezaměstnaností</w:t>
            </w:r>
            <w:r w:rsidR="00850291" w:rsidRPr="00025B12">
              <w:rPr>
                <w:rFonts w:ascii="Verdana" w:hAnsi="Verdana"/>
                <w:sz w:val="18"/>
                <w:szCs w:val="18"/>
              </w:rPr>
              <w:t xml:space="preserve"> mají jen okresy, kde je průměrná míra nezaměstnanosti, dle statistiky MPSV platné pro rozhodné období nejméně o 50 % vyšší než průměrná míra nezaměstnanosti za ČR ve stejném rozhodném období. Krajsk</w:t>
            </w:r>
            <w:r w:rsidRPr="00025B12">
              <w:rPr>
                <w:rFonts w:ascii="Verdana" w:hAnsi="Verdana"/>
                <w:sz w:val="18"/>
                <w:szCs w:val="18"/>
              </w:rPr>
              <w:t>é členění je proto informativní a n</w:t>
            </w:r>
            <w:r w:rsidR="00850291" w:rsidRPr="00025B12">
              <w:rPr>
                <w:rFonts w:ascii="Verdana" w:hAnsi="Verdana"/>
                <w:sz w:val="18"/>
                <w:szCs w:val="18"/>
              </w:rPr>
              <w:t xml:space="preserve">elze </w:t>
            </w:r>
            <w:r w:rsidR="00FD2C99" w:rsidRPr="00025B12">
              <w:rPr>
                <w:rFonts w:ascii="Verdana" w:hAnsi="Verdana"/>
                <w:sz w:val="18"/>
                <w:szCs w:val="18"/>
              </w:rPr>
              <w:t>v rámci tohoto indikátoru jednotlivé kraje srovnávat.</w:t>
            </w:r>
          </w:p>
        </w:tc>
      </w:tr>
    </w:tbl>
    <w:p w:rsidR="009E78F3" w:rsidRPr="00025B12" w:rsidRDefault="009E78F3" w:rsidP="00822069"/>
    <w:p w:rsidR="009E78F3" w:rsidRPr="00025B12" w:rsidRDefault="009E78F3" w:rsidP="00822069">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58"/>
        <w:gridCol w:w="2303"/>
        <w:gridCol w:w="2126"/>
        <w:gridCol w:w="1749"/>
      </w:tblGrid>
      <w:tr w:rsidR="009E78F3" w:rsidRPr="00025B12" w:rsidTr="00092C36">
        <w:trPr>
          <w:trHeight w:val="425"/>
        </w:trPr>
        <w:tc>
          <w:tcPr>
            <w:tcW w:w="1452" w:type="dxa"/>
            <w:tcBorders>
              <w:bottom w:val="single" w:sz="4" w:space="0" w:color="auto"/>
              <w:right w:val="single" w:sz="4" w:space="0" w:color="auto"/>
            </w:tcBorders>
            <w:shd w:val="clear" w:color="auto" w:fill="663399"/>
            <w:vAlign w:val="center"/>
          </w:tcPr>
          <w:p w:rsidR="009E78F3" w:rsidRPr="00025B12" w:rsidRDefault="009E78F3" w:rsidP="009E78F3">
            <w:pPr>
              <w:pStyle w:val="Kd"/>
              <w:rPr>
                <w:sz w:val="18"/>
                <w:szCs w:val="18"/>
              </w:rPr>
            </w:pPr>
            <w:r w:rsidRPr="00025B12">
              <w:rPr>
                <w:sz w:val="18"/>
                <w:szCs w:val="18"/>
              </w:rPr>
              <w:br w:type="page"/>
            </w:r>
            <w:r w:rsidRPr="00025B12">
              <w:rPr>
                <w:sz w:val="18"/>
                <w:szCs w:val="18"/>
              </w:rPr>
              <w:br w:type="page"/>
            </w:r>
            <w:bookmarkStart w:id="78" w:name="II33"/>
            <w:r w:rsidRPr="00025B12">
              <w:rPr>
                <w:sz w:val="18"/>
                <w:szCs w:val="18"/>
              </w:rPr>
              <w:t>II.3.</w:t>
            </w:r>
            <w:bookmarkEnd w:id="78"/>
            <w:r w:rsidR="008D36D8" w:rsidRPr="00025B12">
              <w:rPr>
                <w:sz w:val="18"/>
                <w:szCs w:val="18"/>
              </w:rPr>
              <w:t>d2</w:t>
            </w:r>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9E78F3" w:rsidRPr="00025B12" w:rsidRDefault="009E78F3" w:rsidP="00092C36">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Výdaje na rekvalifikace v přepočtu na účastníka</w:t>
            </w:r>
          </w:p>
        </w:tc>
      </w:tr>
      <w:tr w:rsidR="009E78F3" w:rsidRPr="00025B12" w:rsidTr="00092C36">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9E78F3" w:rsidRPr="00025B12" w:rsidRDefault="00A20048" w:rsidP="00092C36">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36" w:type="dxa"/>
            <w:gridSpan w:val="4"/>
            <w:vMerge/>
            <w:tcBorders>
              <w:left w:val="single" w:sz="4" w:space="0" w:color="auto"/>
              <w:bottom w:val="single" w:sz="4" w:space="0" w:color="auto"/>
              <w:right w:val="single" w:sz="4" w:space="0" w:color="auto"/>
            </w:tcBorders>
            <w:vAlign w:val="center"/>
          </w:tcPr>
          <w:p w:rsidR="009E78F3" w:rsidRPr="00025B12" w:rsidRDefault="009E78F3" w:rsidP="00092C36">
            <w:pPr>
              <w:spacing w:after="0" w:line="240" w:lineRule="auto"/>
              <w:jc w:val="center"/>
              <w:rPr>
                <w:rFonts w:ascii="Verdana" w:eastAsiaTheme="minorHAnsi" w:hAnsi="Verdana" w:cstheme="minorBidi"/>
                <w:sz w:val="18"/>
                <w:szCs w:val="18"/>
              </w:rPr>
            </w:pPr>
          </w:p>
        </w:tc>
      </w:tr>
      <w:tr w:rsidR="009E78F3" w:rsidRPr="00025B12" w:rsidTr="00296FE3">
        <w:trPr>
          <w:trHeight w:val="360"/>
        </w:trPr>
        <w:tc>
          <w:tcPr>
            <w:tcW w:w="1452" w:type="dxa"/>
            <w:tcBorders>
              <w:top w:val="single" w:sz="4" w:space="0" w:color="auto"/>
              <w:bottom w:val="dotted" w:sz="4" w:space="0" w:color="auto"/>
              <w:right w:val="dotted" w:sz="4" w:space="0" w:color="auto"/>
            </w:tcBorders>
          </w:tcPr>
          <w:p w:rsidR="009E78F3" w:rsidRPr="00025B12" w:rsidRDefault="009E78F3" w:rsidP="00092C36">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9E78F3" w:rsidRPr="00025B12" w:rsidRDefault="009E78F3" w:rsidP="00092C36">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9E78F3" w:rsidRPr="00025B12" w:rsidRDefault="009E78F3" w:rsidP="00092C36">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9E78F3" w:rsidRPr="00025B12" w:rsidRDefault="009E78F3" w:rsidP="00092C36">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9E78F3" w:rsidRPr="00025B12" w:rsidRDefault="009E78F3"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9E78F3" w:rsidRPr="00025B12" w:rsidTr="00092C36">
        <w:trPr>
          <w:trHeight w:val="360"/>
        </w:trPr>
        <w:tc>
          <w:tcPr>
            <w:tcW w:w="1452" w:type="dxa"/>
            <w:tcBorders>
              <w:top w:val="dotted" w:sz="4" w:space="0" w:color="auto"/>
              <w:bottom w:val="dotted" w:sz="4" w:space="0" w:color="auto"/>
              <w:right w:val="dotted" w:sz="4" w:space="0" w:color="auto"/>
            </w:tcBorders>
          </w:tcPr>
          <w:p w:rsidR="009E78F3" w:rsidRPr="00025B12" w:rsidRDefault="009E78F3" w:rsidP="00092C36">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9E78F3" w:rsidRPr="00025B12" w:rsidRDefault="009E78F3" w:rsidP="00092C36">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303" w:type="dxa"/>
            <w:tcBorders>
              <w:top w:val="dotted" w:sz="4" w:space="0" w:color="auto"/>
              <w:left w:val="dotted" w:sz="4" w:space="0" w:color="auto"/>
              <w:bottom w:val="dotted" w:sz="4" w:space="0" w:color="auto"/>
              <w:right w:val="dotted" w:sz="4" w:space="0" w:color="auto"/>
            </w:tcBorders>
            <w:vAlign w:val="center"/>
          </w:tcPr>
          <w:p w:rsidR="009E78F3" w:rsidRPr="00025B12" w:rsidRDefault="009E78F3" w:rsidP="00092C36">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26" w:type="dxa"/>
            <w:tcBorders>
              <w:top w:val="dotted" w:sz="4" w:space="0" w:color="auto"/>
              <w:left w:val="dotted" w:sz="4" w:space="0" w:color="auto"/>
              <w:bottom w:val="dotted" w:sz="4" w:space="0" w:color="auto"/>
              <w:right w:val="dotted" w:sz="4" w:space="0" w:color="auto"/>
            </w:tcBorders>
            <w:vAlign w:val="center"/>
          </w:tcPr>
          <w:p w:rsidR="009E78F3" w:rsidRPr="00025B12" w:rsidRDefault="009E78F3" w:rsidP="00092C36">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49" w:type="dxa"/>
            <w:tcBorders>
              <w:top w:val="dotted" w:sz="4" w:space="0" w:color="auto"/>
              <w:left w:val="dotted" w:sz="4" w:space="0" w:color="auto"/>
              <w:bottom w:val="dotted" w:sz="4" w:space="0" w:color="auto"/>
            </w:tcBorders>
            <w:vAlign w:val="center"/>
          </w:tcPr>
          <w:p w:rsidR="009E78F3" w:rsidRPr="00025B12" w:rsidRDefault="009E78F3" w:rsidP="00092C36">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9E78F3" w:rsidRPr="00025B12" w:rsidTr="00092C36">
        <w:trPr>
          <w:trHeight w:val="360"/>
        </w:trPr>
        <w:tc>
          <w:tcPr>
            <w:tcW w:w="1452" w:type="dxa"/>
            <w:tcBorders>
              <w:top w:val="dotted" w:sz="4" w:space="0" w:color="auto"/>
              <w:bottom w:val="dotted" w:sz="4" w:space="0" w:color="auto"/>
              <w:right w:val="dotted" w:sz="4" w:space="0" w:color="auto"/>
            </w:tcBorders>
          </w:tcPr>
          <w:p w:rsidR="009E78F3" w:rsidRPr="00025B12" w:rsidRDefault="009E78F3" w:rsidP="00092C36">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9E78F3" w:rsidRPr="00025B12" w:rsidRDefault="00665F1D" w:rsidP="00092C36">
            <w:pPr>
              <w:spacing w:after="0" w:line="240" w:lineRule="auto"/>
              <w:jc w:val="center"/>
              <w:rPr>
                <w:rFonts w:ascii="Verdana" w:eastAsiaTheme="minorHAnsi" w:hAnsi="Verdana" w:cstheme="minorBidi"/>
                <w:sz w:val="18"/>
                <w:szCs w:val="18"/>
              </w:rPr>
            </w:pPr>
            <w:hyperlink w:anchor="ISSZ" w:history="1">
              <w:r w:rsidR="009E78F3" w:rsidRPr="00025B12">
                <w:rPr>
                  <w:rStyle w:val="Hypertextovodkaz"/>
                  <w:rFonts w:ascii="Verdana" w:eastAsiaTheme="minorHAnsi" w:hAnsi="Verdana" w:cstheme="minorBidi"/>
                  <w:sz w:val="18"/>
                  <w:szCs w:val="18"/>
                </w:rPr>
                <w:t>Informační systém služeb zaměstnanosti</w:t>
              </w:r>
            </w:hyperlink>
          </w:p>
        </w:tc>
        <w:tc>
          <w:tcPr>
            <w:tcW w:w="2303" w:type="dxa"/>
            <w:tcBorders>
              <w:top w:val="dotted" w:sz="4" w:space="0" w:color="auto"/>
              <w:left w:val="dotted" w:sz="4" w:space="0" w:color="auto"/>
              <w:bottom w:val="dotted" w:sz="4" w:space="0" w:color="auto"/>
              <w:right w:val="dotted" w:sz="4" w:space="0" w:color="auto"/>
            </w:tcBorders>
            <w:vAlign w:val="center"/>
          </w:tcPr>
          <w:p w:rsidR="009E78F3" w:rsidRPr="00025B12" w:rsidRDefault="009E78F3" w:rsidP="00092C36">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MPSV</w:t>
            </w:r>
          </w:p>
        </w:tc>
        <w:tc>
          <w:tcPr>
            <w:tcW w:w="2126" w:type="dxa"/>
            <w:tcBorders>
              <w:top w:val="dotted" w:sz="4" w:space="0" w:color="auto"/>
              <w:left w:val="dotted" w:sz="4" w:space="0" w:color="auto"/>
              <w:bottom w:val="dotted" w:sz="4" w:space="0" w:color="auto"/>
              <w:right w:val="dotted" w:sz="4" w:space="0" w:color="auto"/>
            </w:tcBorders>
            <w:vAlign w:val="center"/>
          </w:tcPr>
          <w:p w:rsidR="009E78F3" w:rsidRPr="00025B12" w:rsidRDefault="009E78F3" w:rsidP="00092C36">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bottom w:val="dotted" w:sz="4" w:space="0" w:color="auto"/>
            </w:tcBorders>
            <w:vAlign w:val="center"/>
          </w:tcPr>
          <w:p w:rsidR="009E78F3" w:rsidRPr="00025B12" w:rsidRDefault="009E78F3" w:rsidP="00092C36">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2000</w:t>
            </w:r>
          </w:p>
        </w:tc>
      </w:tr>
      <w:tr w:rsidR="009E78F3" w:rsidRPr="00025B12" w:rsidTr="00092C36">
        <w:trPr>
          <w:trHeight w:val="360"/>
        </w:trPr>
        <w:tc>
          <w:tcPr>
            <w:tcW w:w="1452" w:type="dxa"/>
            <w:tcBorders>
              <w:top w:val="dotted" w:sz="4" w:space="0" w:color="auto"/>
              <w:right w:val="dotted" w:sz="4" w:space="0" w:color="auto"/>
            </w:tcBorders>
          </w:tcPr>
          <w:p w:rsidR="009E78F3" w:rsidRPr="00025B12" w:rsidRDefault="009E78F3" w:rsidP="00092C36">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9E78F3" w:rsidRPr="00025B12" w:rsidRDefault="00665F1D" w:rsidP="00092C36">
            <w:pPr>
              <w:spacing w:after="0" w:line="240" w:lineRule="auto"/>
              <w:jc w:val="center"/>
              <w:rPr>
                <w:rFonts w:ascii="Verdana" w:eastAsiaTheme="minorHAnsi" w:hAnsi="Verdana" w:cstheme="minorBidi"/>
                <w:sz w:val="18"/>
                <w:szCs w:val="18"/>
              </w:rPr>
            </w:pPr>
            <w:hyperlink w:anchor="ISSZ" w:history="1">
              <w:r w:rsidR="009E78F3" w:rsidRPr="00025B12">
                <w:rPr>
                  <w:rStyle w:val="Hypertextovodkaz"/>
                  <w:rFonts w:ascii="Verdana" w:eastAsiaTheme="minorHAnsi" w:hAnsi="Verdana" w:cstheme="minorBidi"/>
                  <w:sz w:val="18"/>
                  <w:szCs w:val="18"/>
                </w:rPr>
                <w:t>Informační systém služeb zaměstnanosti</w:t>
              </w:r>
            </w:hyperlink>
          </w:p>
        </w:tc>
        <w:tc>
          <w:tcPr>
            <w:tcW w:w="2303" w:type="dxa"/>
            <w:tcBorders>
              <w:top w:val="dotted" w:sz="4" w:space="0" w:color="auto"/>
              <w:left w:val="dotted" w:sz="4" w:space="0" w:color="auto"/>
              <w:right w:val="dotted" w:sz="4" w:space="0" w:color="auto"/>
            </w:tcBorders>
            <w:vAlign w:val="center"/>
          </w:tcPr>
          <w:p w:rsidR="009E78F3" w:rsidRPr="00025B12" w:rsidRDefault="009E78F3" w:rsidP="00092C36">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MPSV</w:t>
            </w:r>
          </w:p>
        </w:tc>
        <w:tc>
          <w:tcPr>
            <w:tcW w:w="2126" w:type="dxa"/>
            <w:tcBorders>
              <w:top w:val="dotted" w:sz="4" w:space="0" w:color="auto"/>
              <w:left w:val="dotted" w:sz="4" w:space="0" w:color="auto"/>
              <w:right w:val="dotted" w:sz="4" w:space="0" w:color="auto"/>
            </w:tcBorders>
            <w:vAlign w:val="center"/>
          </w:tcPr>
          <w:p w:rsidR="009E78F3" w:rsidRPr="00025B12" w:rsidRDefault="009E78F3" w:rsidP="00092C36">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tcBorders>
            <w:vAlign w:val="center"/>
          </w:tcPr>
          <w:p w:rsidR="009E78F3" w:rsidRPr="00025B12" w:rsidRDefault="009E78F3" w:rsidP="00092C36">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2000</w:t>
            </w:r>
          </w:p>
        </w:tc>
      </w:tr>
      <w:tr w:rsidR="009E78F3" w:rsidRPr="00025B12" w:rsidTr="00092C36">
        <w:trPr>
          <w:trHeight w:val="274"/>
        </w:trPr>
        <w:tc>
          <w:tcPr>
            <w:tcW w:w="7539" w:type="dxa"/>
            <w:gridSpan w:val="4"/>
            <w:shd w:val="clear" w:color="auto" w:fill="663399"/>
          </w:tcPr>
          <w:p w:rsidR="009E78F3" w:rsidRPr="00025B12" w:rsidRDefault="009E78F3" w:rsidP="00092C36">
            <w:pPr>
              <w:spacing w:after="0" w:line="240" w:lineRule="auto"/>
              <w:jc w:val="center"/>
              <w:rPr>
                <w:rFonts w:ascii="Verdana" w:eastAsiaTheme="minorHAnsi" w:hAnsi="Verdana" w:cstheme="minorBidi"/>
                <w:sz w:val="18"/>
                <w:szCs w:val="18"/>
              </w:rPr>
            </w:pPr>
          </w:p>
        </w:tc>
        <w:tc>
          <w:tcPr>
            <w:tcW w:w="1749" w:type="dxa"/>
            <w:shd w:val="clear" w:color="auto" w:fill="663399"/>
          </w:tcPr>
          <w:p w:rsidR="009E78F3" w:rsidRPr="00025B12" w:rsidRDefault="009E78F3" w:rsidP="00092C36">
            <w:pPr>
              <w:spacing w:after="0" w:line="240" w:lineRule="auto"/>
              <w:jc w:val="center"/>
              <w:rPr>
                <w:rFonts w:ascii="Verdana" w:eastAsiaTheme="minorHAnsi" w:hAnsi="Verdana" w:cstheme="minorBidi"/>
                <w:sz w:val="18"/>
                <w:szCs w:val="18"/>
              </w:rPr>
            </w:pPr>
          </w:p>
        </w:tc>
      </w:tr>
      <w:tr w:rsidR="009E78F3" w:rsidRPr="00025B12" w:rsidTr="00092C36">
        <w:trPr>
          <w:trHeight w:val="1319"/>
        </w:trPr>
        <w:tc>
          <w:tcPr>
            <w:tcW w:w="9288" w:type="dxa"/>
            <w:gridSpan w:val="5"/>
          </w:tcPr>
          <w:p w:rsidR="009E78F3" w:rsidRPr="00025B12" w:rsidRDefault="009E78F3" w:rsidP="00092C36">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9E78F3" w:rsidRPr="00025B12" w:rsidRDefault="009E78F3" w:rsidP="00052D0E">
            <w:pPr>
              <w:jc w:val="both"/>
              <w:rPr>
                <w:rFonts w:ascii="Verdana" w:hAnsi="Verdana"/>
                <w:sz w:val="18"/>
                <w:szCs w:val="18"/>
              </w:rPr>
            </w:pPr>
            <w:r w:rsidRPr="00025B12">
              <w:rPr>
                <w:rFonts w:ascii="Verdana" w:hAnsi="Verdana"/>
                <w:sz w:val="18"/>
                <w:szCs w:val="18"/>
              </w:rPr>
              <w:t xml:space="preserve">Zatímco indikátor </w:t>
            </w:r>
            <w:r w:rsidR="00092C36" w:rsidRPr="00025B12">
              <w:rPr>
                <w:rFonts w:ascii="Verdana" w:hAnsi="Verdana"/>
                <w:sz w:val="18"/>
                <w:szCs w:val="18"/>
              </w:rPr>
              <w:t xml:space="preserve">II.3.1 v přepočtu na </w:t>
            </w:r>
            <w:r w:rsidR="00052D0E" w:rsidRPr="00025B12">
              <w:rPr>
                <w:rFonts w:ascii="Verdana" w:hAnsi="Verdana"/>
                <w:sz w:val="18"/>
                <w:szCs w:val="18"/>
              </w:rPr>
              <w:t>jednoho nezaměstnaného</w:t>
            </w:r>
            <w:r w:rsidR="00092C36" w:rsidRPr="00025B12">
              <w:rPr>
                <w:rFonts w:ascii="Verdana" w:hAnsi="Verdana"/>
                <w:sz w:val="18"/>
                <w:szCs w:val="18"/>
              </w:rPr>
              <w:t xml:space="preserve"> hodnotí míru,</w:t>
            </w:r>
            <w:r w:rsidR="00052D0E" w:rsidRPr="00025B12">
              <w:rPr>
                <w:rFonts w:ascii="Verdana" w:hAnsi="Verdana"/>
                <w:sz w:val="18"/>
                <w:szCs w:val="18"/>
              </w:rPr>
              <w:t xml:space="preserve"> v</w:t>
            </w:r>
            <w:r w:rsidR="00092C36" w:rsidRPr="00025B12">
              <w:rPr>
                <w:rFonts w:ascii="Verdana" w:hAnsi="Verdana"/>
                <w:sz w:val="18"/>
                <w:szCs w:val="18"/>
              </w:rPr>
              <w:t xml:space="preserve"> jaké jsou vynakládány v rámci rekvalifikace peněžní prostředky na boj s nezaměstnaností, indikátor přepočítávající objem na účastníka, informuje spíše o cenách rekvalifikací.</w:t>
            </w:r>
          </w:p>
        </w:tc>
      </w:tr>
      <w:tr w:rsidR="009E78F3" w:rsidRPr="00025B12" w:rsidTr="00092C36">
        <w:trPr>
          <w:trHeight w:val="1485"/>
        </w:trPr>
        <w:tc>
          <w:tcPr>
            <w:tcW w:w="9288" w:type="dxa"/>
            <w:gridSpan w:val="5"/>
          </w:tcPr>
          <w:p w:rsidR="009E78F3" w:rsidRPr="00025B12" w:rsidRDefault="009E78F3" w:rsidP="00092C36">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9E78F3" w:rsidRPr="00025B12" w:rsidRDefault="00092C36" w:rsidP="009E78F3">
            <w:pPr>
              <w:jc w:val="both"/>
              <w:rPr>
                <w:rFonts w:ascii="Verdana" w:hAnsi="Verdana"/>
                <w:sz w:val="18"/>
                <w:szCs w:val="18"/>
              </w:rPr>
            </w:pPr>
            <w:r w:rsidRPr="00025B12">
              <w:rPr>
                <w:rFonts w:ascii="Verdana" w:hAnsi="Verdana"/>
                <w:sz w:val="18"/>
                <w:szCs w:val="18"/>
              </w:rPr>
              <w:t>Indikátor je vypočten jako objem peněz vy</w:t>
            </w:r>
            <w:r w:rsidR="003557B7" w:rsidRPr="00025B12">
              <w:rPr>
                <w:rFonts w:ascii="Verdana" w:hAnsi="Verdana"/>
                <w:sz w:val="18"/>
                <w:szCs w:val="18"/>
              </w:rPr>
              <w:t>da</w:t>
            </w:r>
            <w:r w:rsidR="0038393E" w:rsidRPr="00025B12">
              <w:rPr>
                <w:rFonts w:ascii="Verdana" w:hAnsi="Verdana"/>
                <w:sz w:val="18"/>
                <w:szCs w:val="18"/>
              </w:rPr>
              <w:t>ných na rekvalifikace v rámci a</w:t>
            </w:r>
            <w:r w:rsidR="00052D0E" w:rsidRPr="00025B12">
              <w:rPr>
                <w:rFonts w:ascii="Verdana" w:hAnsi="Verdana"/>
                <w:sz w:val="18"/>
                <w:szCs w:val="18"/>
              </w:rPr>
              <w:t>ktivní politiky zaměstnanosti ku poč</w:t>
            </w:r>
            <w:r w:rsidR="0038393E" w:rsidRPr="00025B12">
              <w:rPr>
                <w:rFonts w:ascii="Verdana" w:hAnsi="Verdana"/>
                <w:sz w:val="18"/>
                <w:szCs w:val="18"/>
              </w:rPr>
              <w:t>t</w:t>
            </w:r>
            <w:r w:rsidR="00052D0E" w:rsidRPr="00025B12">
              <w:rPr>
                <w:rFonts w:ascii="Verdana" w:hAnsi="Verdana"/>
                <w:sz w:val="18"/>
                <w:szCs w:val="18"/>
              </w:rPr>
              <w:t>u</w:t>
            </w:r>
            <w:r w:rsidR="0038393E" w:rsidRPr="00025B12">
              <w:rPr>
                <w:rFonts w:ascii="Verdana" w:hAnsi="Verdana"/>
                <w:sz w:val="18"/>
                <w:szCs w:val="18"/>
              </w:rPr>
              <w:t xml:space="preserve"> nově zařazených uchazečů o zaměstnání do programu rekvalifikací. Je uváděn v korunách.</w:t>
            </w:r>
          </w:p>
        </w:tc>
      </w:tr>
      <w:tr w:rsidR="009E78F3" w:rsidRPr="00025B12" w:rsidTr="00092C36">
        <w:trPr>
          <w:trHeight w:val="1053"/>
        </w:trPr>
        <w:tc>
          <w:tcPr>
            <w:tcW w:w="9288" w:type="dxa"/>
            <w:gridSpan w:val="5"/>
          </w:tcPr>
          <w:p w:rsidR="009E78F3" w:rsidRPr="00025B12" w:rsidRDefault="009E78F3" w:rsidP="00092C36">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9E78F3" w:rsidRPr="00025B12" w:rsidRDefault="0038393E" w:rsidP="00092C36">
            <w:pPr>
              <w:jc w:val="both"/>
              <w:rPr>
                <w:rFonts w:ascii="Verdana" w:hAnsi="Verdana"/>
                <w:sz w:val="18"/>
                <w:szCs w:val="18"/>
              </w:rPr>
            </w:pPr>
            <w:r w:rsidRPr="00025B12">
              <w:rPr>
                <w:rFonts w:ascii="Verdana" w:hAnsi="Verdana"/>
                <w:sz w:val="18"/>
                <w:szCs w:val="18"/>
              </w:rPr>
              <w:t>Data nejsou publikována v krajském členění, informační systém je však obsahuje, byl by nutný zvlášť generovaný výpočet ze systému.</w:t>
            </w:r>
          </w:p>
        </w:tc>
      </w:tr>
      <w:tr w:rsidR="009E78F3" w:rsidRPr="00025B12" w:rsidTr="00092C36">
        <w:trPr>
          <w:trHeight w:val="837"/>
        </w:trPr>
        <w:tc>
          <w:tcPr>
            <w:tcW w:w="9288" w:type="dxa"/>
            <w:gridSpan w:val="5"/>
          </w:tcPr>
          <w:p w:rsidR="009E78F3" w:rsidRPr="00025B12" w:rsidRDefault="009E78F3" w:rsidP="00092C36">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9E78F3" w:rsidRPr="00025B12" w:rsidRDefault="009E78F3" w:rsidP="00092C36">
            <w:pPr>
              <w:autoSpaceDE w:val="0"/>
              <w:autoSpaceDN w:val="0"/>
              <w:adjustRightInd w:val="0"/>
              <w:spacing w:after="0" w:line="240" w:lineRule="auto"/>
              <w:rPr>
                <w:rFonts w:ascii="Verdana" w:hAnsi="Verdana"/>
                <w:sz w:val="18"/>
                <w:szCs w:val="18"/>
              </w:rPr>
            </w:pPr>
          </w:p>
        </w:tc>
      </w:tr>
    </w:tbl>
    <w:p w:rsidR="00822069" w:rsidRPr="00025B12" w:rsidRDefault="00822069" w:rsidP="00822069"/>
    <w:p w:rsidR="006316DE" w:rsidRPr="00025B12" w:rsidRDefault="006316DE" w:rsidP="00C43089">
      <w:pPr>
        <w:jc w:val="both"/>
        <w:rPr>
          <w:rFonts w:ascii="Verdana" w:hAnsi="Verdana"/>
          <w:b/>
          <w:sz w:val="20"/>
          <w:szCs w:val="20"/>
          <w:u w:val="single"/>
        </w:rPr>
      </w:pPr>
      <w:r w:rsidRPr="00025B12">
        <w:rPr>
          <w:rFonts w:ascii="Verdana" w:hAnsi="Verdana"/>
          <w:b/>
          <w:sz w:val="20"/>
          <w:szCs w:val="20"/>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1633"/>
        <w:gridCol w:w="2266"/>
        <w:gridCol w:w="2230"/>
        <w:gridCol w:w="1724"/>
      </w:tblGrid>
      <w:tr w:rsidR="006316DE" w:rsidRPr="00025B12" w:rsidTr="00682857">
        <w:trPr>
          <w:trHeight w:val="425"/>
        </w:trPr>
        <w:tc>
          <w:tcPr>
            <w:tcW w:w="1435" w:type="dxa"/>
            <w:tcBorders>
              <w:bottom w:val="single" w:sz="4" w:space="0" w:color="auto"/>
              <w:right w:val="single" w:sz="4" w:space="0" w:color="auto"/>
            </w:tcBorders>
            <w:shd w:val="clear" w:color="auto" w:fill="663399"/>
            <w:vAlign w:val="center"/>
          </w:tcPr>
          <w:p w:rsidR="006316DE" w:rsidRPr="00025B12" w:rsidRDefault="006316DE" w:rsidP="00FF69A4">
            <w:pPr>
              <w:pStyle w:val="Kd"/>
              <w:rPr>
                <w:sz w:val="18"/>
                <w:szCs w:val="18"/>
              </w:rPr>
            </w:pPr>
            <w:r w:rsidRPr="00025B12">
              <w:rPr>
                <w:sz w:val="18"/>
                <w:szCs w:val="18"/>
              </w:rPr>
              <w:br w:type="page"/>
            </w:r>
            <w:r w:rsidRPr="00025B12">
              <w:rPr>
                <w:sz w:val="18"/>
                <w:szCs w:val="18"/>
              </w:rPr>
              <w:br w:type="page"/>
            </w:r>
            <w:bookmarkStart w:id="79" w:name="II34"/>
            <w:r w:rsidRPr="00025B12">
              <w:rPr>
                <w:sz w:val="18"/>
                <w:szCs w:val="18"/>
              </w:rPr>
              <w:t>II.3.</w:t>
            </w:r>
            <w:bookmarkEnd w:id="79"/>
            <w:r w:rsidR="008D36D8" w:rsidRPr="00025B12">
              <w:rPr>
                <w:sz w:val="18"/>
                <w:szCs w:val="18"/>
              </w:rPr>
              <w:t>d3</w:t>
            </w:r>
          </w:p>
        </w:tc>
        <w:tc>
          <w:tcPr>
            <w:tcW w:w="7853" w:type="dxa"/>
            <w:gridSpan w:val="4"/>
            <w:vMerge w:val="restart"/>
            <w:tcBorders>
              <w:top w:val="single" w:sz="4" w:space="0" w:color="auto"/>
              <w:left w:val="single" w:sz="4" w:space="0" w:color="auto"/>
              <w:right w:val="single" w:sz="4" w:space="0" w:color="auto"/>
            </w:tcBorders>
            <w:shd w:val="clear" w:color="auto" w:fill="663399"/>
            <w:vAlign w:val="center"/>
          </w:tcPr>
          <w:p w:rsidR="006316DE" w:rsidRPr="00025B12" w:rsidRDefault="00560BD6" w:rsidP="00DA554F">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Podpora</w:t>
            </w:r>
            <w:r w:rsidR="00682857" w:rsidRPr="00025B12">
              <w:rPr>
                <w:rFonts w:ascii="Verdana" w:eastAsiaTheme="minorHAnsi" w:hAnsi="Verdana" w:cstheme="minorBidi"/>
                <w:b/>
                <w:color w:val="FFFFFF" w:themeColor="background1"/>
              </w:rPr>
              <w:t xml:space="preserve"> </w:t>
            </w:r>
            <w:r w:rsidR="00DA554F">
              <w:rPr>
                <w:rFonts w:ascii="Verdana" w:eastAsiaTheme="minorHAnsi" w:hAnsi="Verdana" w:cstheme="minorBidi"/>
                <w:b/>
                <w:color w:val="FFFFFF" w:themeColor="background1"/>
              </w:rPr>
              <w:t>dalšího vzdělávání</w:t>
            </w:r>
            <w:r w:rsidR="00682857" w:rsidRPr="00025B12">
              <w:rPr>
                <w:rFonts w:ascii="Verdana" w:eastAsiaTheme="minorHAnsi" w:hAnsi="Verdana" w:cstheme="minorBidi"/>
                <w:b/>
                <w:color w:val="FFFFFF" w:themeColor="background1"/>
              </w:rPr>
              <w:t xml:space="preserve"> ze strukturálních fondů</w:t>
            </w:r>
          </w:p>
        </w:tc>
      </w:tr>
      <w:tr w:rsidR="00A20048" w:rsidRPr="00025B12" w:rsidTr="00682857">
        <w:trPr>
          <w:trHeight w:val="360"/>
        </w:trPr>
        <w:tc>
          <w:tcPr>
            <w:tcW w:w="1435" w:type="dxa"/>
            <w:tcBorders>
              <w:top w:val="single" w:sz="4" w:space="0" w:color="auto"/>
              <w:bottom w:val="single" w:sz="4" w:space="0" w:color="auto"/>
              <w:right w:val="single" w:sz="4" w:space="0" w:color="auto"/>
            </w:tcBorders>
            <w:shd w:val="clear" w:color="auto" w:fill="663399"/>
            <w:vAlign w:val="center"/>
          </w:tcPr>
          <w:p w:rsidR="00A20048" w:rsidRPr="00025B12" w:rsidRDefault="00A20048" w:rsidP="00A2004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53" w:type="dxa"/>
            <w:gridSpan w:val="4"/>
            <w:vMerge/>
            <w:tcBorders>
              <w:left w:val="single" w:sz="4" w:space="0" w:color="auto"/>
              <w:bottom w:val="single" w:sz="4" w:space="0" w:color="auto"/>
              <w:right w:val="single" w:sz="4" w:space="0" w:color="auto"/>
            </w:tcBorders>
            <w:vAlign w:val="center"/>
          </w:tcPr>
          <w:p w:rsidR="00A20048" w:rsidRPr="00025B12" w:rsidRDefault="00A20048" w:rsidP="00FF69A4">
            <w:pPr>
              <w:spacing w:after="0" w:line="240" w:lineRule="auto"/>
              <w:jc w:val="center"/>
              <w:rPr>
                <w:rFonts w:ascii="Verdana" w:eastAsiaTheme="minorHAnsi" w:hAnsi="Verdana" w:cstheme="minorBidi"/>
                <w:sz w:val="18"/>
                <w:szCs w:val="18"/>
              </w:rPr>
            </w:pPr>
          </w:p>
        </w:tc>
      </w:tr>
      <w:tr w:rsidR="00682857" w:rsidRPr="00025B12" w:rsidTr="00296FE3">
        <w:trPr>
          <w:trHeight w:val="360"/>
        </w:trPr>
        <w:tc>
          <w:tcPr>
            <w:tcW w:w="1435" w:type="dxa"/>
            <w:tcBorders>
              <w:top w:val="single" w:sz="4" w:space="0" w:color="auto"/>
              <w:bottom w:val="dotted" w:sz="4" w:space="0" w:color="auto"/>
              <w:right w:val="dotted" w:sz="4" w:space="0" w:color="auto"/>
            </w:tcBorders>
          </w:tcPr>
          <w:p w:rsidR="006316DE" w:rsidRPr="00025B12" w:rsidRDefault="006316DE" w:rsidP="00FF69A4">
            <w:pPr>
              <w:spacing w:after="0" w:line="240" w:lineRule="auto"/>
              <w:jc w:val="center"/>
              <w:rPr>
                <w:rFonts w:ascii="Verdana" w:eastAsiaTheme="minorHAnsi" w:hAnsi="Verdana" w:cstheme="minorBidi"/>
                <w:sz w:val="18"/>
                <w:szCs w:val="18"/>
              </w:rPr>
            </w:pPr>
          </w:p>
        </w:tc>
        <w:tc>
          <w:tcPr>
            <w:tcW w:w="1633" w:type="dxa"/>
            <w:tcBorders>
              <w:top w:val="single" w:sz="4" w:space="0" w:color="auto"/>
              <w:left w:val="dotted" w:sz="4" w:space="0" w:color="auto"/>
              <w:bottom w:val="dotted" w:sz="4" w:space="0" w:color="auto"/>
              <w:right w:val="dotted" w:sz="4" w:space="0" w:color="auto"/>
            </w:tcBorders>
            <w:vAlign w:val="center"/>
          </w:tcPr>
          <w:p w:rsidR="006316DE" w:rsidRPr="00025B12" w:rsidRDefault="006316DE" w:rsidP="00FF69A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66" w:type="dxa"/>
            <w:tcBorders>
              <w:top w:val="single" w:sz="4" w:space="0" w:color="auto"/>
              <w:left w:val="dotted" w:sz="4" w:space="0" w:color="auto"/>
              <w:bottom w:val="dotted" w:sz="4" w:space="0" w:color="auto"/>
              <w:right w:val="dotted" w:sz="4" w:space="0" w:color="auto"/>
            </w:tcBorders>
            <w:vAlign w:val="center"/>
          </w:tcPr>
          <w:p w:rsidR="006316DE" w:rsidRPr="00025B12" w:rsidRDefault="006316DE" w:rsidP="00FF69A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230" w:type="dxa"/>
            <w:tcBorders>
              <w:top w:val="single" w:sz="4" w:space="0" w:color="auto"/>
              <w:left w:val="dotted" w:sz="4" w:space="0" w:color="auto"/>
              <w:bottom w:val="dotted" w:sz="4" w:space="0" w:color="auto"/>
              <w:right w:val="dotted" w:sz="4" w:space="0" w:color="auto"/>
            </w:tcBorders>
            <w:vAlign w:val="center"/>
          </w:tcPr>
          <w:p w:rsidR="006316DE" w:rsidRPr="00025B12" w:rsidRDefault="006316DE" w:rsidP="00FF69A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24" w:type="dxa"/>
            <w:tcBorders>
              <w:top w:val="single" w:sz="4" w:space="0" w:color="auto"/>
              <w:left w:val="dotted" w:sz="4" w:space="0" w:color="auto"/>
              <w:bottom w:val="dotted" w:sz="4" w:space="0" w:color="auto"/>
            </w:tcBorders>
            <w:vAlign w:val="center"/>
          </w:tcPr>
          <w:p w:rsidR="006316DE" w:rsidRPr="00025B12" w:rsidRDefault="006316DE"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682857" w:rsidRPr="00025B12" w:rsidTr="00682857">
        <w:trPr>
          <w:trHeight w:val="360"/>
        </w:trPr>
        <w:tc>
          <w:tcPr>
            <w:tcW w:w="1435" w:type="dxa"/>
            <w:tcBorders>
              <w:top w:val="dotted" w:sz="4" w:space="0" w:color="auto"/>
              <w:bottom w:val="dotted" w:sz="4" w:space="0" w:color="auto"/>
              <w:right w:val="dotted" w:sz="4" w:space="0" w:color="auto"/>
            </w:tcBorders>
          </w:tcPr>
          <w:p w:rsidR="006316DE" w:rsidRPr="00025B12" w:rsidRDefault="006316DE" w:rsidP="00FF69A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33" w:type="dxa"/>
            <w:tcBorders>
              <w:top w:val="dotted" w:sz="4" w:space="0" w:color="auto"/>
              <w:left w:val="dotted" w:sz="4" w:space="0" w:color="auto"/>
              <w:bottom w:val="dotted" w:sz="4" w:space="0" w:color="auto"/>
              <w:right w:val="dotted" w:sz="4" w:space="0" w:color="auto"/>
            </w:tcBorders>
            <w:vAlign w:val="center"/>
          </w:tcPr>
          <w:p w:rsidR="006316DE" w:rsidRPr="00025B12" w:rsidRDefault="006316DE" w:rsidP="00FF69A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66" w:type="dxa"/>
            <w:tcBorders>
              <w:top w:val="dotted" w:sz="4" w:space="0" w:color="auto"/>
              <w:left w:val="dotted" w:sz="4" w:space="0" w:color="auto"/>
              <w:bottom w:val="dotted" w:sz="4" w:space="0" w:color="auto"/>
              <w:right w:val="dotted" w:sz="4" w:space="0" w:color="auto"/>
            </w:tcBorders>
            <w:vAlign w:val="center"/>
          </w:tcPr>
          <w:p w:rsidR="006316DE" w:rsidRPr="00025B12" w:rsidRDefault="006316DE" w:rsidP="00FF69A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30" w:type="dxa"/>
            <w:tcBorders>
              <w:top w:val="dotted" w:sz="4" w:space="0" w:color="auto"/>
              <w:left w:val="dotted" w:sz="4" w:space="0" w:color="auto"/>
              <w:bottom w:val="dotted" w:sz="4" w:space="0" w:color="auto"/>
              <w:right w:val="dotted" w:sz="4" w:space="0" w:color="auto"/>
            </w:tcBorders>
            <w:vAlign w:val="center"/>
          </w:tcPr>
          <w:p w:rsidR="006316DE" w:rsidRPr="00025B12" w:rsidRDefault="006316DE" w:rsidP="00FF69A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24" w:type="dxa"/>
            <w:tcBorders>
              <w:top w:val="dotted" w:sz="4" w:space="0" w:color="auto"/>
              <w:left w:val="dotted" w:sz="4" w:space="0" w:color="auto"/>
              <w:bottom w:val="dotted" w:sz="4" w:space="0" w:color="auto"/>
            </w:tcBorders>
            <w:vAlign w:val="center"/>
          </w:tcPr>
          <w:p w:rsidR="006316DE" w:rsidRPr="00025B12" w:rsidRDefault="006316DE" w:rsidP="00FF69A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682857" w:rsidRPr="00025B12" w:rsidTr="00682857">
        <w:trPr>
          <w:trHeight w:val="360"/>
        </w:trPr>
        <w:tc>
          <w:tcPr>
            <w:tcW w:w="1435" w:type="dxa"/>
            <w:tcBorders>
              <w:top w:val="dotted" w:sz="4" w:space="0" w:color="auto"/>
              <w:bottom w:val="dotted" w:sz="4" w:space="0" w:color="auto"/>
              <w:right w:val="dotted" w:sz="4" w:space="0" w:color="auto"/>
            </w:tcBorders>
          </w:tcPr>
          <w:p w:rsidR="006316DE" w:rsidRPr="00025B12" w:rsidRDefault="006316DE" w:rsidP="00FF69A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33" w:type="dxa"/>
            <w:tcBorders>
              <w:top w:val="dotted" w:sz="4" w:space="0" w:color="auto"/>
              <w:left w:val="dotted" w:sz="4" w:space="0" w:color="auto"/>
              <w:bottom w:val="dotted" w:sz="4" w:space="0" w:color="auto"/>
              <w:right w:val="dotted" w:sz="4" w:space="0" w:color="auto"/>
            </w:tcBorders>
            <w:vAlign w:val="center"/>
          </w:tcPr>
          <w:p w:rsidR="006316DE" w:rsidRPr="00025B12" w:rsidRDefault="00682857" w:rsidP="00FF69A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Výroční a závěrečné zprávy OP</w:t>
            </w:r>
          </w:p>
        </w:tc>
        <w:tc>
          <w:tcPr>
            <w:tcW w:w="2266" w:type="dxa"/>
            <w:tcBorders>
              <w:top w:val="dotted" w:sz="4" w:space="0" w:color="auto"/>
              <w:left w:val="dotted" w:sz="4" w:space="0" w:color="auto"/>
              <w:bottom w:val="dotted" w:sz="4" w:space="0" w:color="auto"/>
              <w:right w:val="dotted" w:sz="4" w:space="0" w:color="auto"/>
            </w:tcBorders>
            <w:vAlign w:val="center"/>
          </w:tcPr>
          <w:p w:rsidR="006316DE" w:rsidRPr="00025B12" w:rsidRDefault="00682857" w:rsidP="00682857">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Instituce řídící OP</w:t>
            </w:r>
          </w:p>
        </w:tc>
        <w:tc>
          <w:tcPr>
            <w:tcW w:w="2230" w:type="dxa"/>
            <w:tcBorders>
              <w:top w:val="dotted" w:sz="4" w:space="0" w:color="auto"/>
              <w:left w:val="dotted" w:sz="4" w:space="0" w:color="auto"/>
              <w:bottom w:val="dotted" w:sz="4" w:space="0" w:color="auto"/>
              <w:right w:val="dotted" w:sz="4" w:space="0" w:color="auto"/>
            </w:tcBorders>
            <w:vAlign w:val="center"/>
          </w:tcPr>
          <w:p w:rsidR="006316DE" w:rsidRPr="00025B12" w:rsidRDefault="00682857" w:rsidP="00FF69A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ročně+nepravidelně</w:t>
            </w:r>
          </w:p>
        </w:tc>
        <w:tc>
          <w:tcPr>
            <w:tcW w:w="1724" w:type="dxa"/>
            <w:tcBorders>
              <w:top w:val="dotted" w:sz="4" w:space="0" w:color="auto"/>
              <w:left w:val="dotted" w:sz="4" w:space="0" w:color="auto"/>
              <w:bottom w:val="dotted" w:sz="4" w:space="0" w:color="auto"/>
            </w:tcBorders>
            <w:vAlign w:val="center"/>
          </w:tcPr>
          <w:p w:rsidR="006316DE" w:rsidRPr="00025B12" w:rsidRDefault="00682857" w:rsidP="00FF69A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2005 v závislosti na trvání programů</w:t>
            </w:r>
          </w:p>
        </w:tc>
      </w:tr>
      <w:tr w:rsidR="00682857" w:rsidRPr="00025B12" w:rsidTr="00682857">
        <w:trPr>
          <w:trHeight w:val="360"/>
        </w:trPr>
        <w:tc>
          <w:tcPr>
            <w:tcW w:w="1435" w:type="dxa"/>
            <w:tcBorders>
              <w:top w:val="dotted" w:sz="4" w:space="0" w:color="auto"/>
              <w:right w:val="dotted" w:sz="4" w:space="0" w:color="auto"/>
            </w:tcBorders>
          </w:tcPr>
          <w:p w:rsidR="00682857" w:rsidRPr="00025B12" w:rsidRDefault="00682857" w:rsidP="00FF69A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33" w:type="dxa"/>
            <w:tcBorders>
              <w:top w:val="dotted" w:sz="4" w:space="0" w:color="auto"/>
              <w:left w:val="dotted" w:sz="4" w:space="0" w:color="auto"/>
              <w:right w:val="dotted" w:sz="4" w:space="0" w:color="auto"/>
            </w:tcBorders>
            <w:vAlign w:val="center"/>
          </w:tcPr>
          <w:p w:rsidR="00682857" w:rsidRPr="00025B12" w:rsidRDefault="00682857" w:rsidP="00FF69A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Výroční a závěrečné zprávy OP</w:t>
            </w:r>
          </w:p>
        </w:tc>
        <w:tc>
          <w:tcPr>
            <w:tcW w:w="2266" w:type="dxa"/>
            <w:tcBorders>
              <w:top w:val="dotted" w:sz="4" w:space="0" w:color="auto"/>
              <w:left w:val="dotted" w:sz="4" w:space="0" w:color="auto"/>
              <w:right w:val="dotted" w:sz="4" w:space="0" w:color="auto"/>
            </w:tcBorders>
            <w:vAlign w:val="center"/>
          </w:tcPr>
          <w:p w:rsidR="00682857" w:rsidRPr="00025B12" w:rsidRDefault="00682857" w:rsidP="00682857">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Instituce řídící OP</w:t>
            </w:r>
          </w:p>
        </w:tc>
        <w:tc>
          <w:tcPr>
            <w:tcW w:w="2230" w:type="dxa"/>
            <w:tcBorders>
              <w:top w:val="dotted" w:sz="4" w:space="0" w:color="auto"/>
              <w:left w:val="dotted" w:sz="4" w:space="0" w:color="auto"/>
              <w:right w:val="dotted" w:sz="4" w:space="0" w:color="auto"/>
            </w:tcBorders>
            <w:vAlign w:val="center"/>
          </w:tcPr>
          <w:p w:rsidR="00682857" w:rsidRPr="00025B12" w:rsidRDefault="00682857" w:rsidP="00FF69A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ročně+nepravidelně</w:t>
            </w:r>
          </w:p>
        </w:tc>
        <w:tc>
          <w:tcPr>
            <w:tcW w:w="1724" w:type="dxa"/>
            <w:tcBorders>
              <w:top w:val="dotted" w:sz="4" w:space="0" w:color="auto"/>
              <w:left w:val="dotted" w:sz="4" w:space="0" w:color="auto"/>
            </w:tcBorders>
            <w:vAlign w:val="center"/>
          </w:tcPr>
          <w:p w:rsidR="00682857" w:rsidRPr="00025B12" w:rsidRDefault="00682857" w:rsidP="00FF69A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2005 v závislosti na trvání programů</w:t>
            </w:r>
          </w:p>
        </w:tc>
      </w:tr>
      <w:tr w:rsidR="006316DE" w:rsidRPr="00025B12" w:rsidTr="00682857">
        <w:trPr>
          <w:trHeight w:val="274"/>
        </w:trPr>
        <w:tc>
          <w:tcPr>
            <w:tcW w:w="7564" w:type="dxa"/>
            <w:gridSpan w:val="4"/>
            <w:shd w:val="clear" w:color="auto" w:fill="663399"/>
          </w:tcPr>
          <w:p w:rsidR="006316DE" w:rsidRPr="00025B12" w:rsidRDefault="006316DE" w:rsidP="00FF69A4">
            <w:pPr>
              <w:spacing w:after="0" w:line="240" w:lineRule="auto"/>
              <w:jc w:val="center"/>
              <w:rPr>
                <w:rFonts w:ascii="Verdana" w:eastAsiaTheme="minorHAnsi" w:hAnsi="Verdana" w:cstheme="minorBidi"/>
                <w:sz w:val="18"/>
                <w:szCs w:val="18"/>
              </w:rPr>
            </w:pPr>
          </w:p>
        </w:tc>
        <w:tc>
          <w:tcPr>
            <w:tcW w:w="1724" w:type="dxa"/>
            <w:shd w:val="clear" w:color="auto" w:fill="663399"/>
          </w:tcPr>
          <w:p w:rsidR="006316DE" w:rsidRPr="00025B12" w:rsidRDefault="006316DE" w:rsidP="00FF69A4">
            <w:pPr>
              <w:spacing w:after="0" w:line="240" w:lineRule="auto"/>
              <w:jc w:val="center"/>
              <w:rPr>
                <w:rFonts w:ascii="Verdana" w:eastAsiaTheme="minorHAnsi" w:hAnsi="Verdana" w:cstheme="minorBidi"/>
                <w:sz w:val="18"/>
                <w:szCs w:val="18"/>
              </w:rPr>
            </w:pPr>
          </w:p>
        </w:tc>
      </w:tr>
      <w:tr w:rsidR="006316DE" w:rsidRPr="00025B12" w:rsidTr="00FF69A4">
        <w:trPr>
          <w:trHeight w:val="1319"/>
        </w:trPr>
        <w:tc>
          <w:tcPr>
            <w:tcW w:w="9288" w:type="dxa"/>
            <w:gridSpan w:val="5"/>
          </w:tcPr>
          <w:p w:rsidR="006316DE" w:rsidRPr="00025B12" w:rsidRDefault="006316DE" w:rsidP="00FF69A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6316DE" w:rsidRPr="00025B12" w:rsidRDefault="006316DE" w:rsidP="00FF69A4">
            <w:pPr>
              <w:jc w:val="both"/>
              <w:rPr>
                <w:rFonts w:ascii="Verdana" w:hAnsi="Verdana"/>
                <w:sz w:val="18"/>
                <w:szCs w:val="18"/>
              </w:rPr>
            </w:pPr>
            <w:r w:rsidRPr="00025B12">
              <w:rPr>
                <w:rFonts w:ascii="Verdana" w:hAnsi="Verdana"/>
                <w:sz w:val="18"/>
                <w:szCs w:val="18"/>
              </w:rPr>
              <w:t>Indikátor popisuje specifický časově omezený zdroj finanční podpory dalšího vzdělávání, který je k dispozici vedle dlouhodobějších zdrojů. Výkonové ukazatele dalšího vzdělávání mohou být hodnoceny s ohledem na tyto dodatečné zdroje financování v jednotlivých letech.</w:t>
            </w:r>
          </w:p>
        </w:tc>
      </w:tr>
      <w:tr w:rsidR="006316DE" w:rsidRPr="00025B12" w:rsidTr="00FF69A4">
        <w:trPr>
          <w:trHeight w:val="1485"/>
        </w:trPr>
        <w:tc>
          <w:tcPr>
            <w:tcW w:w="9288" w:type="dxa"/>
            <w:gridSpan w:val="5"/>
          </w:tcPr>
          <w:p w:rsidR="006316DE" w:rsidRPr="00025B12" w:rsidRDefault="006316DE" w:rsidP="00FF69A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682857" w:rsidRPr="00025B12" w:rsidRDefault="00682857" w:rsidP="00682857">
            <w:pPr>
              <w:jc w:val="both"/>
              <w:rPr>
                <w:rFonts w:ascii="Verdana" w:hAnsi="Verdana"/>
                <w:sz w:val="18"/>
                <w:szCs w:val="18"/>
              </w:rPr>
            </w:pPr>
            <w:r w:rsidRPr="00025B12">
              <w:rPr>
                <w:rFonts w:ascii="Verdana" w:hAnsi="Verdana"/>
                <w:sz w:val="18"/>
                <w:szCs w:val="18"/>
              </w:rPr>
              <w:t xml:space="preserve">V mnoha programech </w:t>
            </w:r>
            <w:r w:rsidR="00052D0E" w:rsidRPr="00025B12">
              <w:rPr>
                <w:rFonts w:ascii="Verdana" w:hAnsi="Verdana"/>
                <w:sz w:val="18"/>
                <w:szCs w:val="18"/>
              </w:rPr>
              <w:t xml:space="preserve">kofinancovaných z </w:t>
            </w:r>
            <w:r w:rsidRPr="00025B12">
              <w:rPr>
                <w:rFonts w:ascii="Verdana" w:hAnsi="Verdana"/>
                <w:sz w:val="18"/>
                <w:szCs w:val="18"/>
              </w:rPr>
              <w:t xml:space="preserve">ESF, které se začaly realizovat od roku 2004, se objevuje podpora dalšího vzdělávání, je však velmi obtížné vyčlenit finanční prostředky investované právě do tohoto vzdělávání. </w:t>
            </w:r>
          </w:p>
          <w:p w:rsidR="00682857" w:rsidRPr="00025B12" w:rsidRDefault="00682857" w:rsidP="00D23462">
            <w:pPr>
              <w:spacing w:after="0"/>
              <w:jc w:val="both"/>
              <w:rPr>
                <w:rFonts w:ascii="Verdana" w:hAnsi="Verdana"/>
                <w:sz w:val="18"/>
                <w:szCs w:val="18"/>
              </w:rPr>
            </w:pPr>
            <w:r w:rsidRPr="00025B12">
              <w:rPr>
                <w:rFonts w:ascii="Verdana" w:hAnsi="Verdana"/>
                <w:sz w:val="18"/>
                <w:szCs w:val="18"/>
              </w:rPr>
              <w:t>Do statistik je možné kompletně zařadit prostředky na následující osy/opatření:</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OP RLZ - Opatření 3.3 Rozvoj dalšího profesního vzdělávání</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 xml:space="preserve">OP VK  - Prioritní osa č. 3: Další vzdělávání a 4.3 Systémový rámec dalšího vzdělávání </w:t>
            </w:r>
          </w:p>
          <w:p w:rsidR="00682857" w:rsidRPr="00025B12" w:rsidRDefault="00682857" w:rsidP="005E2CC2">
            <w:pPr>
              <w:numPr>
                <w:ilvl w:val="0"/>
                <w:numId w:val="19"/>
              </w:numPr>
              <w:jc w:val="both"/>
              <w:rPr>
                <w:rFonts w:ascii="Verdana" w:hAnsi="Verdana"/>
                <w:sz w:val="18"/>
                <w:szCs w:val="18"/>
              </w:rPr>
            </w:pPr>
            <w:r w:rsidRPr="00025B12">
              <w:rPr>
                <w:rFonts w:ascii="Verdana" w:hAnsi="Verdana"/>
                <w:sz w:val="18"/>
                <w:szCs w:val="18"/>
              </w:rPr>
              <w:t>OP PI – Oblast podpory 5.2 Infrastruktura pro rozvoj lidských zdrojů</w:t>
            </w:r>
          </w:p>
          <w:p w:rsidR="00682857" w:rsidRPr="00025B12" w:rsidRDefault="00682857" w:rsidP="00D23462">
            <w:pPr>
              <w:spacing w:after="0"/>
              <w:jc w:val="both"/>
              <w:rPr>
                <w:rFonts w:ascii="Verdana" w:hAnsi="Verdana"/>
                <w:sz w:val="18"/>
                <w:szCs w:val="18"/>
              </w:rPr>
            </w:pPr>
            <w:r w:rsidRPr="00025B12">
              <w:rPr>
                <w:rFonts w:ascii="Verdana" w:hAnsi="Verdana"/>
                <w:sz w:val="18"/>
                <w:szCs w:val="18"/>
              </w:rPr>
              <w:t>V následujících oblastech se další vzdělávání objevuje, nicméně může být zkombinováno s dalšími aktivitami (např. s počátečním vzděláváním v dané oblasti apod.) – podpora dalšího vzdělávání je zde ale natolik významná, že by neměly být z celkového přehledu opomenuty</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OP LZZ – Prioritní osa 1 – Adaptabilita (kromě dalšího vzdělávání zaměstnanců zahrnuje i oblast organizace práce a poradenství; většinu zaměření nicméně tvoří další vzdělávání)</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OP LZZ - Oblast podpory 2.1 Posílení aktivních politik zaměstnanosti – zahrnuje podporu rekvalifikací, ale kromě toho i další složky APZ)</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OPPP Program ROZVOJ v rámci opatření 2.1 obsahuje i prostředky na vzdělávání a odborný rozvoj zaměstnanců</w:t>
            </w:r>
          </w:p>
          <w:p w:rsidR="00682857" w:rsidRPr="00025B12" w:rsidRDefault="00682857" w:rsidP="00D23462">
            <w:pPr>
              <w:numPr>
                <w:ilvl w:val="0"/>
                <w:numId w:val="19"/>
              </w:numPr>
              <w:spacing w:after="240"/>
              <w:ind w:left="714" w:hanging="357"/>
              <w:jc w:val="both"/>
              <w:rPr>
                <w:rFonts w:ascii="Verdana" w:hAnsi="Verdana"/>
                <w:sz w:val="18"/>
                <w:szCs w:val="18"/>
              </w:rPr>
            </w:pPr>
            <w:r w:rsidRPr="00025B12">
              <w:rPr>
                <w:rFonts w:ascii="Verdana" w:hAnsi="Verdana"/>
                <w:sz w:val="18"/>
                <w:szCs w:val="18"/>
              </w:rPr>
              <w:t>OP RVMZ Opatření 2.2. - Odborné vzdělávání</w:t>
            </w:r>
          </w:p>
          <w:p w:rsidR="00682857" w:rsidRPr="00025B12" w:rsidRDefault="00682857" w:rsidP="00D23462">
            <w:pPr>
              <w:spacing w:after="0"/>
              <w:jc w:val="both"/>
              <w:rPr>
                <w:rFonts w:ascii="Verdana" w:hAnsi="Verdana"/>
                <w:sz w:val="18"/>
                <w:szCs w:val="18"/>
              </w:rPr>
            </w:pPr>
            <w:r w:rsidRPr="00025B12">
              <w:rPr>
                <w:rFonts w:ascii="Verdana" w:hAnsi="Verdana"/>
                <w:sz w:val="18"/>
                <w:szCs w:val="18"/>
              </w:rPr>
              <w:t>V následujících oblastech se další vzděláv</w:t>
            </w:r>
            <w:r w:rsidR="00D23462" w:rsidRPr="00025B12">
              <w:rPr>
                <w:rFonts w:ascii="Verdana" w:hAnsi="Verdana"/>
                <w:sz w:val="18"/>
                <w:szCs w:val="18"/>
              </w:rPr>
              <w:t>ání objevuje, nicméně může být s</w:t>
            </w:r>
            <w:r w:rsidRPr="00025B12">
              <w:rPr>
                <w:rFonts w:ascii="Verdana" w:hAnsi="Verdana"/>
                <w:sz w:val="18"/>
                <w:szCs w:val="18"/>
              </w:rPr>
              <w:t>kombinováno s dalšími aktivitami – podpora dalšího vzdělávání zde tvoří spíše méně významnou složku:</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OP ŽP – Prioritní osa 7 – ROZVOJ INFRASTRUKTURY PRO ENVIRONMENTÁLNÍ VZDĚLÁVÁNÍ, PORADENSTVÍ A OSVĚTU (obsahuje i počáteční vzdělávání a poradenství)</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OP LZZ:</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Oblast podpory 2.2 Modernizace institucí a zavedení systému kvality služeb zaměstnanosti a jejich rozvoj (zahrnuje mj. vzdělávání zaměstnanců služeb zaměstnanosti)</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Oblast podpory 3.1 Podpora sociální integrace a sociálních služeb  a 3.2 Podpora sociální integrace příslušníků romských lokalit (zahrnuje mimo jiné Podpora vzdělávání zadavatelů, poskytovatelů, uživatelů a dalších subjektů v oblasti sociálního začleňování)</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Oblast podpory 3.4 Rovné příležitosti žen a mužů na trhu práce a sladění pracovního a rodinného života (obsahuje mj. zpřístupnění nabídky vzdělávacích a rekvalifikačních programů, vzdělávání zaměstnanců v této oblasti, vzdělávání rodičů na mateřské a rodičovské dovolené)</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lastRenderedPageBreak/>
              <w:t>Oblast podpory 4.1 Posilování institucionální kapacity a efektivnosti veřejné správy (zahrnuje mj. zefektivnění řízení lidských zdrojů ve veřejné správě, včetně vzdělávání a odborné</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přípravy zaměstnanců úřadů veřejné správy, politiků včetně zastupitelů územních samosprávných celků, metodiků a školitelů pro veřejnou správu; rozvoj vzdělávacích programů včetně distančních forem vzdělávání (vč. eLearningu))</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OP PI: Prioritní osa 3 – Inovace a podnikání (obsahuje mj. Navrhování, zavádění a provádění reforem systémů vzdělávání a odborné přípravy s cílem rozvíjet zaměstnanost, zvyšování významu základního a odborného vzdělávání a odborné přípravy na trhu práce a neustálé zlepšování dovedností vzdělávacích pracovníků s ohledem na inovace a znalostní ekonomiku a Rozvoj lidského potenciálu v oblasti výzkumu a inovací, především prostřednictvím postgraduálního studia a odborné přípravy výzkumných pracovníků a spolupráce v rámci sítí mezi univerzitami, výzkumnými středisky a podniky)</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OP PA - Prioritní osa 1 – Podpora rozvoje znalostní ekonomiky (obsahuje mj. rozvoj a realizaci dalšího vzdělávání</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OP PA - Prioritní osa 2 - Podpora vstupu na trh práce (podpora dalšího</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vzdělávání pracovníků organizací sociálních služeb)</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Kromě toho obsahují rozvoj infrastruktury pro vzdělávání i všechny regionální operační programy. V žádném z nich však není specificky vyčleněna oblast dalšího vzdělávání.</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 xml:space="preserve">SROP </w:t>
            </w:r>
            <w:bookmarkStart w:id="80" w:name="_Toc56564874"/>
            <w:bookmarkStart w:id="81" w:name="_Toc66673907"/>
            <w:bookmarkStart w:id="82" w:name="_Toc84927244"/>
            <w:r w:rsidRPr="00025B12">
              <w:rPr>
                <w:rFonts w:ascii="Verdana" w:hAnsi="Verdana"/>
                <w:sz w:val="18"/>
                <w:szCs w:val="18"/>
              </w:rPr>
              <w:t>Opatření 3.1 Infrastruktura pro rozvoj lidských zdrojů v regionech</w:t>
            </w:r>
            <w:bookmarkEnd w:id="80"/>
            <w:bookmarkEnd w:id="81"/>
            <w:bookmarkEnd w:id="82"/>
            <w:r w:rsidRPr="00025B12">
              <w:rPr>
                <w:rFonts w:ascii="Verdana" w:hAnsi="Verdana"/>
                <w:sz w:val="18"/>
                <w:szCs w:val="18"/>
              </w:rPr>
              <w:t xml:space="preserve"> (mj. infrastruktura pro rozvoj celoživotního učení)</w:t>
            </w:r>
          </w:p>
          <w:p w:rsidR="00682857" w:rsidRPr="00025B12" w:rsidRDefault="00682857" w:rsidP="005E2CC2">
            <w:pPr>
              <w:numPr>
                <w:ilvl w:val="0"/>
                <w:numId w:val="19"/>
              </w:numPr>
              <w:spacing w:after="0"/>
              <w:ind w:left="714" w:hanging="357"/>
              <w:jc w:val="both"/>
              <w:rPr>
                <w:rFonts w:ascii="Verdana" w:hAnsi="Verdana"/>
                <w:sz w:val="18"/>
                <w:szCs w:val="18"/>
              </w:rPr>
            </w:pPr>
            <w:r w:rsidRPr="00025B12">
              <w:rPr>
                <w:rFonts w:ascii="Verdana" w:hAnsi="Verdana"/>
                <w:sz w:val="18"/>
                <w:szCs w:val="18"/>
              </w:rPr>
              <w:t>OP PP Opatření 1.3 - Podpora infrastruktury pro využití lidského kapitálu pro zvýšení konkurenceschopnosti průmyslu</w:t>
            </w:r>
          </w:p>
          <w:p w:rsidR="006316DE" w:rsidRPr="00025B12" w:rsidRDefault="006316DE" w:rsidP="00FF69A4">
            <w:pPr>
              <w:jc w:val="both"/>
              <w:rPr>
                <w:rFonts w:ascii="Verdana" w:hAnsi="Verdana"/>
                <w:sz w:val="18"/>
                <w:szCs w:val="18"/>
              </w:rPr>
            </w:pPr>
          </w:p>
        </w:tc>
      </w:tr>
      <w:tr w:rsidR="006316DE" w:rsidRPr="00025B12" w:rsidTr="00FF69A4">
        <w:trPr>
          <w:trHeight w:val="1053"/>
        </w:trPr>
        <w:tc>
          <w:tcPr>
            <w:tcW w:w="9288" w:type="dxa"/>
            <w:gridSpan w:val="5"/>
          </w:tcPr>
          <w:p w:rsidR="006316DE" w:rsidRPr="00025B12" w:rsidRDefault="006316DE" w:rsidP="00FF69A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lastRenderedPageBreak/>
              <w:t>Dostupnost dat:</w:t>
            </w:r>
          </w:p>
          <w:p w:rsidR="006316DE" w:rsidRPr="00025B12" w:rsidRDefault="006316DE" w:rsidP="00FF69A4">
            <w:pPr>
              <w:jc w:val="both"/>
              <w:rPr>
                <w:rFonts w:ascii="Verdana" w:hAnsi="Verdana"/>
                <w:sz w:val="18"/>
                <w:szCs w:val="18"/>
              </w:rPr>
            </w:pPr>
            <w:r w:rsidRPr="00025B12">
              <w:rPr>
                <w:rFonts w:ascii="Verdana" w:hAnsi="Verdana"/>
                <w:sz w:val="18"/>
                <w:szCs w:val="18"/>
              </w:rPr>
              <w:t>Získání dat je velmi obtížné, zprávy jsou publikovány v nejednotných strukturách. U běžících programů jsou objemy téměř nezjistitelné.</w:t>
            </w:r>
          </w:p>
        </w:tc>
      </w:tr>
      <w:tr w:rsidR="006316DE" w:rsidRPr="00025B12" w:rsidTr="00FF69A4">
        <w:trPr>
          <w:trHeight w:val="837"/>
        </w:trPr>
        <w:tc>
          <w:tcPr>
            <w:tcW w:w="9288" w:type="dxa"/>
            <w:gridSpan w:val="5"/>
          </w:tcPr>
          <w:p w:rsidR="006316DE" w:rsidRPr="00025B12" w:rsidRDefault="006316DE" w:rsidP="00FF69A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6316DE" w:rsidRPr="00025B12" w:rsidRDefault="006316DE" w:rsidP="00330DA6">
            <w:pPr>
              <w:autoSpaceDE w:val="0"/>
              <w:autoSpaceDN w:val="0"/>
              <w:adjustRightInd w:val="0"/>
              <w:spacing w:after="0" w:line="240" w:lineRule="auto"/>
              <w:rPr>
                <w:rFonts w:ascii="Verdana" w:hAnsi="Verdana"/>
                <w:sz w:val="18"/>
                <w:szCs w:val="18"/>
              </w:rPr>
            </w:pPr>
            <w:r w:rsidRPr="00025B12">
              <w:rPr>
                <w:rFonts w:ascii="Verdana" w:hAnsi="Verdana"/>
                <w:sz w:val="18"/>
                <w:szCs w:val="18"/>
              </w:rPr>
              <w:t>V indikátorech rekvalifikací (II.3.1 a II.3.</w:t>
            </w:r>
            <w:r w:rsidR="00330DA6" w:rsidRPr="00025B12">
              <w:rPr>
                <w:rFonts w:ascii="Verdana" w:hAnsi="Verdana"/>
                <w:sz w:val="18"/>
                <w:szCs w:val="18"/>
              </w:rPr>
              <w:t>d1</w:t>
            </w:r>
            <w:r w:rsidRPr="00025B12">
              <w:rPr>
                <w:rFonts w:ascii="Verdana" w:hAnsi="Verdana"/>
                <w:sz w:val="18"/>
                <w:szCs w:val="18"/>
              </w:rPr>
              <w:t>) jsou již prostředky z ESF zahrnuty.</w:t>
            </w:r>
          </w:p>
        </w:tc>
      </w:tr>
    </w:tbl>
    <w:p w:rsidR="00C43089" w:rsidRPr="00025B12" w:rsidRDefault="00C43089" w:rsidP="00C43089">
      <w:pPr>
        <w:jc w:val="both"/>
        <w:rPr>
          <w:rFonts w:ascii="Verdana" w:hAnsi="Verdana"/>
          <w:b/>
          <w:sz w:val="20"/>
          <w:szCs w:val="20"/>
          <w:u w:val="single"/>
        </w:rPr>
      </w:pPr>
    </w:p>
    <w:p w:rsidR="00C43089" w:rsidRPr="00025B12" w:rsidRDefault="005455E6" w:rsidP="000C6631">
      <w:pPr>
        <w:jc w:val="both"/>
        <w:outlineLvl w:val="0"/>
        <w:rPr>
          <w:rFonts w:ascii="Verdana" w:hAnsi="Verdana"/>
          <w:b/>
          <w:sz w:val="24"/>
          <w:szCs w:val="24"/>
        </w:rPr>
      </w:pPr>
      <w:r w:rsidRPr="00025B12">
        <w:rPr>
          <w:rFonts w:ascii="Verdana" w:hAnsi="Verdana"/>
          <w:b/>
          <w:sz w:val="24"/>
          <w:szCs w:val="24"/>
        </w:rPr>
        <w:br w:type="page"/>
      </w:r>
      <w:r w:rsidR="00C43089" w:rsidRPr="00025B12">
        <w:rPr>
          <w:rFonts w:ascii="Verdana" w:hAnsi="Verdana"/>
          <w:b/>
          <w:sz w:val="24"/>
          <w:szCs w:val="24"/>
        </w:rPr>
        <w:lastRenderedPageBreak/>
        <w:t xml:space="preserve">II.4 </w:t>
      </w:r>
      <w:r w:rsidR="00D23462" w:rsidRPr="00025B12">
        <w:rPr>
          <w:rFonts w:ascii="Verdana" w:hAnsi="Verdana"/>
          <w:b/>
          <w:sz w:val="24"/>
          <w:szCs w:val="24"/>
        </w:rPr>
        <w:t>L</w:t>
      </w:r>
      <w:r w:rsidR="00C43089" w:rsidRPr="00025B12">
        <w:rPr>
          <w:rFonts w:ascii="Verdana" w:hAnsi="Verdana"/>
          <w:b/>
          <w:sz w:val="24"/>
          <w:szCs w:val="24"/>
        </w:rPr>
        <w:t>ektoři dalšího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Cílem indikátorů je zmapovat lidské zdroje pracující v oblasti dalšího vzdělávání. Vzhledem k tomu, že se jedná o poměrně obtížně dohledatelnou a heterogenní skupinu, představují indikátory spíše různé cesty, jak se přiblížit k </w:t>
      </w:r>
      <w:r w:rsidR="003557B7" w:rsidRPr="00025B12">
        <w:rPr>
          <w:rFonts w:ascii="Verdana" w:hAnsi="Verdana"/>
          <w:sz w:val="20"/>
          <w:szCs w:val="20"/>
        </w:rPr>
        <w:t>údaji</w:t>
      </w:r>
      <w:r w:rsidRPr="00025B12">
        <w:rPr>
          <w:rFonts w:ascii="Verdana" w:hAnsi="Verdana"/>
          <w:sz w:val="20"/>
          <w:szCs w:val="20"/>
        </w:rPr>
        <w:t>, který nás zajímá.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1957"/>
        <w:gridCol w:w="2225"/>
        <w:gridCol w:w="2054"/>
        <w:gridCol w:w="1689"/>
      </w:tblGrid>
      <w:tr w:rsidR="00CB686A" w:rsidRPr="00025B12" w:rsidTr="00D131AA">
        <w:trPr>
          <w:trHeight w:val="425"/>
        </w:trPr>
        <w:tc>
          <w:tcPr>
            <w:tcW w:w="1574" w:type="dxa"/>
            <w:tcBorders>
              <w:bottom w:val="single" w:sz="4" w:space="0" w:color="auto"/>
              <w:right w:val="single" w:sz="4" w:space="0" w:color="auto"/>
            </w:tcBorders>
            <w:shd w:val="clear" w:color="auto" w:fill="663399"/>
            <w:vAlign w:val="center"/>
          </w:tcPr>
          <w:p w:rsidR="00CB686A" w:rsidRPr="00025B12" w:rsidRDefault="00CB686A" w:rsidP="00D131AA">
            <w:pPr>
              <w:pStyle w:val="Kd"/>
              <w:rPr>
                <w:sz w:val="18"/>
                <w:szCs w:val="18"/>
              </w:rPr>
            </w:pPr>
            <w:r w:rsidRPr="00025B12">
              <w:rPr>
                <w:sz w:val="18"/>
                <w:szCs w:val="18"/>
              </w:rPr>
              <w:br w:type="page"/>
            </w:r>
            <w:r w:rsidRPr="00025B12">
              <w:rPr>
                <w:sz w:val="18"/>
                <w:szCs w:val="18"/>
              </w:rPr>
              <w:br w:type="page"/>
            </w:r>
            <w:bookmarkStart w:id="83" w:name="II43"/>
            <w:r w:rsidRPr="00025B12">
              <w:rPr>
                <w:sz w:val="18"/>
                <w:szCs w:val="18"/>
              </w:rPr>
              <w:t>II.4.</w:t>
            </w:r>
            <w:bookmarkEnd w:id="83"/>
            <w:r w:rsidRPr="00025B12">
              <w:rPr>
                <w:sz w:val="18"/>
                <w:szCs w:val="18"/>
              </w:rPr>
              <w:t>1</w:t>
            </w:r>
          </w:p>
        </w:tc>
        <w:tc>
          <w:tcPr>
            <w:tcW w:w="9108" w:type="dxa"/>
            <w:gridSpan w:val="4"/>
            <w:vMerge w:val="restart"/>
            <w:tcBorders>
              <w:top w:val="single" w:sz="4" w:space="0" w:color="auto"/>
              <w:left w:val="single" w:sz="4" w:space="0" w:color="auto"/>
              <w:right w:val="single" w:sz="4" w:space="0" w:color="auto"/>
            </w:tcBorders>
            <w:shd w:val="clear" w:color="auto" w:fill="663399"/>
            <w:vAlign w:val="center"/>
          </w:tcPr>
          <w:p w:rsidR="00CB686A" w:rsidRPr="00025B12" w:rsidRDefault="00CB686A" w:rsidP="00424CD3">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 xml:space="preserve">Odhad celkového počtu </w:t>
            </w:r>
            <w:r w:rsidR="00424CD3" w:rsidRPr="00025B12">
              <w:rPr>
                <w:rFonts w:ascii="Verdana" w:eastAsiaTheme="minorHAnsi" w:hAnsi="Verdana" w:cstheme="minorBidi"/>
                <w:b/>
                <w:color w:val="FFFFFF" w:themeColor="background1"/>
              </w:rPr>
              <w:t>lektorů dalšího vzdělávání</w:t>
            </w:r>
          </w:p>
        </w:tc>
      </w:tr>
      <w:tr w:rsidR="00CB686A" w:rsidRPr="00025B12" w:rsidTr="00D131AA">
        <w:trPr>
          <w:trHeight w:val="360"/>
        </w:trPr>
        <w:tc>
          <w:tcPr>
            <w:tcW w:w="1574" w:type="dxa"/>
            <w:tcBorders>
              <w:top w:val="single" w:sz="4" w:space="0" w:color="auto"/>
              <w:bottom w:val="single" w:sz="4" w:space="0" w:color="auto"/>
              <w:right w:val="single" w:sz="4" w:space="0" w:color="auto"/>
            </w:tcBorders>
            <w:shd w:val="clear" w:color="auto" w:fill="663399"/>
            <w:vAlign w:val="center"/>
          </w:tcPr>
          <w:p w:rsidR="00CB686A" w:rsidRPr="00025B12" w:rsidRDefault="00CB686A"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9108" w:type="dxa"/>
            <w:gridSpan w:val="4"/>
            <w:vMerge/>
            <w:tcBorders>
              <w:left w:val="single" w:sz="4" w:space="0" w:color="auto"/>
              <w:bottom w:val="single" w:sz="4" w:space="0" w:color="auto"/>
              <w:right w:val="single" w:sz="4" w:space="0" w:color="auto"/>
            </w:tcBorders>
            <w:vAlign w:val="center"/>
          </w:tcPr>
          <w:p w:rsidR="00CB686A" w:rsidRPr="00025B12" w:rsidRDefault="00CB686A" w:rsidP="00D131AA">
            <w:pPr>
              <w:spacing w:after="0" w:line="240" w:lineRule="auto"/>
              <w:jc w:val="center"/>
              <w:rPr>
                <w:rFonts w:ascii="Verdana" w:eastAsiaTheme="minorHAnsi" w:hAnsi="Verdana" w:cstheme="minorBidi"/>
                <w:sz w:val="18"/>
                <w:szCs w:val="18"/>
              </w:rPr>
            </w:pPr>
          </w:p>
        </w:tc>
      </w:tr>
      <w:tr w:rsidR="00CB686A" w:rsidRPr="00025B12" w:rsidTr="00296FE3">
        <w:trPr>
          <w:trHeight w:val="360"/>
        </w:trPr>
        <w:tc>
          <w:tcPr>
            <w:tcW w:w="1574" w:type="dxa"/>
            <w:tcBorders>
              <w:top w:val="single" w:sz="4" w:space="0" w:color="auto"/>
              <w:bottom w:val="dotted" w:sz="4" w:space="0" w:color="auto"/>
              <w:right w:val="dotted" w:sz="4" w:space="0" w:color="auto"/>
            </w:tcBorders>
          </w:tcPr>
          <w:p w:rsidR="00CB686A" w:rsidRPr="00025B12" w:rsidRDefault="00CB686A" w:rsidP="00D131AA">
            <w:pPr>
              <w:spacing w:after="0" w:line="240" w:lineRule="auto"/>
              <w:jc w:val="center"/>
              <w:rPr>
                <w:rFonts w:ascii="Verdana" w:eastAsiaTheme="minorHAnsi" w:hAnsi="Verdana" w:cstheme="minorBidi"/>
                <w:sz w:val="18"/>
                <w:szCs w:val="18"/>
              </w:rPr>
            </w:pPr>
          </w:p>
        </w:tc>
        <w:tc>
          <w:tcPr>
            <w:tcW w:w="2026" w:type="dxa"/>
            <w:tcBorders>
              <w:top w:val="single" w:sz="4" w:space="0" w:color="auto"/>
              <w:left w:val="dotted" w:sz="4" w:space="0" w:color="auto"/>
              <w:bottom w:val="dotted" w:sz="4" w:space="0" w:color="auto"/>
              <w:right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579" w:type="dxa"/>
            <w:tcBorders>
              <w:top w:val="single" w:sz="4" w:space="0" w:color="auto"/>
              <w:left w:val="dotted" w:sz="4" w:space="0" w:color="auto"/>
              <w:bottom w:val="dotted" w:sz="4" w:space="0" w:color="auto"/>
              <w:right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434" w:type="dxa"/>
            <w:tcBorders>
              <w:top w:val="single" w:sz="4" w:space="0" w:color="auto"/>
              <w:left w:val="dotted" w:sz="4" w:space="0" w:color="auto"/>
              <w:bottom w:val="dotted" w:sz="4" w:space="0" w:color="auto"/>
              <w:right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CB686A" w:rsidRPr="00025B12" w:rsidRDefault="00CB686A"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CB686A" w:rsidRPr="00025B12" w:rsidTr="00D131AA">
        <w:trPr>
          <w:trHeight w:val="360"/>
        </w:trPr>
        <w:tc>
          <w:tcPr>
            <w:tcW w:w="1574" w:type="dxa"/>
            <w:tcBorders>
              <w:top w:val="dotted" w:sz="4" w:space="0" w:color="auto"/>
              <w:bottom w:val="dotted" w:sz="4" w:space="0" w:color="auto"/>
              <w:right w:val="dotted" w:sz="4" w:space="0" w:color="auto"/>
            </w:tcBorders>
          </w:tcPr>
          <w:p w:rsidR="00CB686A" w:rsidRPr="00025B12" w:rsidRDefault="00CB686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2026" w:type="dxa"/>
            <w:tcBorders>
              <w:top w:val="dotted" w:sz="4" w:space="0" w:color="auto"/>
              <w:left w:val="dotted" w:sz="4" w:space="0" w:color="auto"/>
              <w:bottom w:val="dotted" w:sz="4" w:space="0" w:color="auto"/>
              <w:right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579" w:type="dxa"/>
            <w:tcBorders>
              <w:top w:val="dotted" w:sz="4" w:space="0" w:color="auto"/>
              <w:left w:val="dotted" w:sz="4" w:space="0" w:color="auto"/>
              <w:bottom w:val="dotted" w:sz="4" w:space="0" w:color="auto"/>
              <w:right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434" w:type="dxa"/>
            <w:tcBorders>
              <w:top w:val="dotted" w:sz="4" w:space="0" w:color="auto"/>
              <w:left w:val="dotted" w:sz="4" w:space="0" w:color="auto"/>
              <w:bottom w:val="dotted" w:sz="4" w:space="0" w:color="auto"/>
              <w:right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bottom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CB686A" w:rsidRPr="00025B12" w:rsidTr="00D131AA">
        <w:trPr>
          <w:trHeight w:val="360"/>
        </w:trPr>
        <w:tc>
          <w:tcPr>
            <w:tcW w:w="1574" w:type="dxa"/>
            <w:tcBorders>
              <w:top w:val="dotted" w:sz="4" w:space="0" w:color="auto"/>
              <w:bottom w:val="dotted" w:sz="4" w:space="0" w:color="auto"/>
              <w:right w:val="dotted" w:sz="4" w:space="0" w:color="auto"/>
            </w:tcBorders>
          </w:tcPr>
          <w:p w:rsidR="00CB686A" w:rsidRPr="00025B12" w:rsidRDefault="00CB686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2026" w:type="dxa"/>
            <w:tcBorders>
              <w:top w:val="dotted" w:sz="4" w:space="0" w:color="auto"/>
              <w:left w:val="dotted" w:sz="4" w:space="0" w:color="auto"/>
              <w:bottom w:val="dotted" w:sz="4" w:space="0" w:color="auto"/>
              <w:right w:val="dotted" w:sz="4" w:space="0" w:color="auto"/>
            </w:tcBorders>
            <w:vAlign w:val="center"/>
          </w:tcPr>
          <w:p w:rsidR="00CB686A" w:rsidRPr="00025B12" w:rsidRDefault="00665F1D" w:rsidP="00D131AA">
            <w:pPr>
              <w:spacing w:after="0" w:line="240" w:lineRule="auto"/>
              <w:jc w:val="center"/>
              <w:rPr>
                <w:rFonts w:ascii="Verdana" w:eastAsiaTheme="minorHAnsi" w:hAnsi="Verdana" w:cstheme="minorBidi"/>
                <w:sz w:val="18"/>
                <w:szCs w:val="18"/>
              </w:rPr>
            </w:pPr>
            <w:hyperlink w:anchor="Sběr_dat_UIV" w:history="1">
              <w:r w:rsidR="00CB686A" w:rsidRPr="00025B12">
                <w:rPr>
                  <w:rStyle w:val="Hypertextovodkaz"/>
                  <w:rFonts w:ascii="Verdana" w:hAnsi="Verdana"/>
                  <w:sz w:val="18"/>
                  <w:szCs w:val="18"/>
                </w:rPr>
                <w:t>Sběr dat o akreditovaných a neakreditovaných kurzech DV</w:t>
              </w:r>
            </w:hyperlink>
            <w:r w:rsidR="00CB686A" w:rsidRPr="00025B12">
              <w:rPr>
                <w:rFonts w:ascii="Verdana" w:hAnsi="Verdana"/>
                <w:sz w:val="18"/>
                <w:szCs w:val="18"/>
              </w:rPr>
              <w:t xml:space="preserve"> + </w:t>
            </w:r>
            <w:hyperlink w:anchor="Databáze_nabídky" w:history="1">
              <w:r w:rsidR="00CB686A" w:rsidRPr="00025B12">
                <w:rPr>
                  <w:rStyle w:val="Hypertextovodkaz"/>
                  <w:rFonts w:ascii="Verdana" w:hAnsi="Verdana"/>
                  <w:sz w:val="18"/>
                  <w:szCs w:val="18"/>
                </w:rPr>
                <w:t>databáze nabídky DV</w:t>
              </w:r>
            </w:hyperlink>
          </w:p>
        </w:tc>
        <w:tc>
          <w:tcPr>
            <w:tcW w:w="2579" w:type="dxa"/>
            <w:tcBorders>
              <w:top w:val="dotted" w:sz="4" w:space="0" w:color="auto"/>
              <w:left w:val="dotted" w:sz="4" w:space="0" w:color="auto"/>
              <w:bottom w:val="dotted" w:sz="4" w:space="0" w:color="auto"/>
              <w:right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ÚIV + provozovatelé databází</w:t>
            </w:r>
          </w:p>
        </w:tc>
        <w:tc>
          <w:tcPr>
            <w:tcW w:w="2434" w:type="dxa"/>
            <w:tcBorders>
              <w:top w:val="dotted" w:sz="4" w:space="0" w:color="auto"/>
              <w:left w:val="dotted" w:sz="4" w:space="0" w:color="auto"/>
              <w:bottom w:val="dotted" w:sz="4" w:space="0" w:color="auto"/>
              <w:right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2069" w:type="dxa"/>
            <w:tcBorders>
              <w:top w:val="dotted" w:sz="4" w:space="0" w:color="auto"/>
              <w:left w:val="dotted" w:sz="4" w:space="0" w:color="auto"/>
              <w:bottom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2010</w:t>
            </w:r>
          </w:p>
        </w:tc>
      </w:tr>
      <w:tr w:rsidR="00CB686A" w:rsidRPr="00025B12" w:rsidTr="00D131AA">
        <w:trPr>
          <w:trHeight w:val="360"/>
        </w:trPr>
        <w:tc>
          <w:tcPr>
            <w:tcW w:w="1574" w:type="dxa"/>
            <w:tcBorders>
              <w:top w:val="dotted" w:sz="4" w:space="0" w:color="auto"/>
              <w:right w:val="dotted" w:sz="4" w:space="0" w:color="auto"/>
            </w:tcBorders>
          </w:tcPr>
          <w:p w:rsidR="00CB686A" w:rsidRPr="00025B12" w:rsidRDefault="00CB686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2026" w:type="dxa"/>
            <w:tcBorders>
              <w:top w:val="dotted" w:sz="4" w:space="0" w:color="auto"/>
              <w:left w:val="dotted" w:sz="4" w:space="0" w:color="auto"/>
              <w:right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579" w:type="dxa"/>
            <w:tcBorders>
              <w:top w:val="dotted" w:sz="4" w:space="0" w:color="auto"/>
              <w:left w:val="dotted" w:sz="4" w:space="0" w:color="auto"/>
              <w:right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434" w:type="dxa"/>
            <w:tcBorders>
              <w:top w:val="dotted" w:sz="4" w:space="0" w:color="auto"/>
              <w:left w:val="dotted" w:sz="4" w:space="0" w:color="auto"/>
              <w:right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CB686A" w:rsidRPr="00025B12" w:rsidRDefault="00CB686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CB686A" w:rsidRPr="00025B12" w:rsidTr="00D131AA">
        <w:trPr>
          <w:trHeight w:val="274"/>
        </w:trPr>
        <w:tc>
          <w:tcPr>
            <w:tcW w:w="8613" w:type="dxa"/>
            <w:gridSpan w:val="4"/>
            <w:shd w:val="clear" w:color="auto" w:fill="663399"/>
          </w:tcPr>
          <w:p w:rsidR="00CB686A" w:rsidRPr="00025B12" w:rsidRDefault="00CB686A" w:rsidP="00D131AA">
            <w:pPr>
              <w:spacing w:after="0" w:line="240" w:lineRule="auto"/>
              <w:jc w:val="center"/>
              <w:rPr>
                <w:rFonts w:ascii="Verdana" w:eastAsiaTheme="minorHAnsi" w:hAnsi="Verdana" w:cstheme="minorBidi"/>
                <w:sz w:val="18"/>
                <w:szCs w:val="18"/>
              </w:rPr>
            </w:pPr>
          </w:p>
        </w:tc>
        <w:tc>
          <w:tcPr>
            <w:tcW w:w="2069" w:type="dxa"/>
            <w:shd w:val="clear" w:color="auto" w:fill="663399"/>
          </w:tcPr>
          <w:p w:rsidR="00CB686A" w:rsidRPr="00025B12" w:rsidRDefault="00CB686A" w:rsidP="00D131AA">
            <w:pPr>
              <w:spacing w:after="0" w:line="240" w:lineRule="auto"/>
              <w:jc w:val="center"/>
              <w:rPr>
                <w:rFonts w:ascii="Verdana" w:eastAsiaTheme="minorHAnsi" w:hAnsi="Verdana" w:cstheme="minorBidi"/>
                <w:sz w:val="18"/>
                <w:szCs w:val="18"/>
              </w:rPr>
            </w:pPr>
          </w:p>
        </w:tc>
      </w:tr>
      <w:tr w:rsidR="00CB686A" w:rsidRPr="00025B12" w:rsidTr="00D131AA">
        <w:trPr>
          <w:trHeight w:val="1319"/>
        </w:trPr>
        <w:tc>
          <w:tcPr>
            <w:tcW w:w="10682" w:type="dxa"/>
            <w:gridSpan w:val="5"/>
          </w:tcPr>
          <w:p w:rsidR="00CB686A" w:rsidRPr="00025B12" w:rsidRDefault="00CB686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CB686A" w:rsidRPr="00025B12" w:rsidRDefault="00CB686A" w:rsidP="00D131AA">
            <w:pPr>
              <w:jc w:val="both"/>
              <w:rPr>
                <w:rFonts w:ascii="Verdana" w:hAnsi="Verdana"/>
                <w:sz w:val="18"/>
                <w:szCs w:val="18"/>
              </w:rPr>
            </w:pPr>
            <w:r w:rsidRPr="00025B12">
              <w:rPr>
                <w:rFonts w:ascii="Verdana" w:hAnsi="Verdana"/>
                <w:sz w:val="18"/>
                <w:szCs w:val="18"/>
              </w:rPr>
              <w:t xml:space="preserve">Vzhledem k problematičnosti získání kompletních informací o lidských zdrojích v dalším vzdělávání byl vytvořen indikátor, který </w:t>
            </w:r>
            <w:r w:rsidR="003557B7" w:rsidRPr="00025B12">
              <w:rPr>
                <w:rFonts w:ascii="Verdana" w:hAnsi="Verdana"/>
                <w:sz w:val="18"/>
                <w:szCs w:val="18"/>
              </w:rPr>
              <w:t>shromažďuje</w:t>
            </w:r>
            <w:r w:rsidRPr="00025B12">
              <w:rPr>
                <w:rFonts w:ascii="Verdana" w:hAnsi="Verdana"/>
                <w:sz w:val="18"/>
                <w:szCs w:val="18"/>
              </w:rPr>
              <w:t xml:space="preserve"> informace z několika zdrojů a snaží se celkový rozsah odhadnout. Jedná se o aproximaci reálné situace, která je však pravděpodobně přesnější než spolehnutí se na dílčí zdroje.</w:t>
            </w:r>
          </w:p>
        </w:tc>
      </w:tr>
      <w:tr w:rsidR="00CB686A" w:rsidRPr="00025B12" w:rsidTr="00D131AA">
        <w:trPr>
          <w:trHeight w:val="1485"/>
        </w:trPr>
        <w:tc>
          <w:tcPr>
            <w:tcW w:w="10682" w:type="dxa"/>
            <w:gridSpan w:val="5"/>
          </w:tcPr>
          <w:p w:rsidR="00CB686A" w:rsidRPr="00025B12" w:rsidRDefault="00CB686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CB686A" w:rsidRPr="00025B12" w:rsidRDefault="00CB686A" w:rsidP="00B40D75">
            <w:pPr>
              <w:jc w:val="both"/>
              <w:rPr>
                <w:rFonts w:ascii="Verdana" w:hAnsi="Verdana"/>
                <w:sz w:val="18"/>
                <w:szCs w:val="18"/>
              </w:rPr>
            </w:pPr>
            <w:r w:rsidRPr="00025B12">
              <w:rPr>
                <w:rFonts w:ascii="Verdana" w:hAnsi="Verdana"/>
                <w:sz w:val="18"/>
                <w:szCs w:val="18"/>
              </w:rPr>
              <w:t xml:space="preserve">Indikátor vychází z údajů o počtech </w:t>
            </w:r>
            <w:r w:rsidR="00424CD3" w:rsidRPr="00025B12">
              <w:rPr>
                <w:rFonts w:ascii="Verdana" w:hAnsi="Verdana"/>
                <w:sz w:val="18"/>
                <w:szCs w:val="18"/>
              </w:rPr>
              <w:t>lektorů</w:t>
            </w:r>
            <w:r w:rsidRPr="00025B12">
              <w:rPr>
                <w:rFonts w:ascii="Verdana" w:hAnsi="Verdana"/>
                <w:sz w:val="18"/>
                <w:szCs w:val="18"/>
              </w:rPr>
              <w:t xml:space="preserve"> vzdělávacích společností</w:t>
            </w:r>
            <w:r w:rsidR="00424CD3" w:rsidRPr="00025B12">
              <w:rPr>
                <w:rFonts w:ascii="Verdana" w:hAnsi="Verdana"/>
                <w:sz w:val="18"/>
                <w:szCs w:val="18"/>
              </w:rPr>
              <w:t xml:space="preserve"> </w:t>
            </w:r>
            <w:r w:rsidRPr="00025B12">
              <w:rPr>
                <w:rFonts w:ascii="Verdana" w:hAnsi="Verdana"/>
                <w:sz w:val="18"/>
                <w:szCs w:val="18"/>
              </w:rPr>
              <w:t>(viz indikátor II.4.</w:t>
            </w:r>
            <w:r w:rsidR="00B40D75" w:rsidRPr="00025B12">
              <w:rPr>
                <w:rFonts w:ascii="Verdana" w:hAnsi="Verdana"/>
                <w:sz w:val="18"/>
                <w:szCs w:val="18"/>
              </w:rPr>
              <w:t>d</w:t>
            </w:r>
            <w:r w:rsidRPr="00025B12">
              <w:rPr>
                <w:rFonts w:ascii="Verdana" w:hAnsi="Verdana"/>
                <w:sz w:val="18"/>
                <w:szCs w:val="18"/>
              </w:rPr>
              <w:t>2). Průměrný počet pracovníků je vynásoben celkovým počtem vzdělávacích společností zjištěných z databáze nabídky (indikátor II.5.</w:t>
            </w:r>
            <w:r w:rsidR="00B40D75" w:rsidRPr="00025B12">
              <w:rPr>
                <w:rFonts w:ascii="Verdana" w:hAnsi="Verdana"/>
                <w:sz w:val="18"/>
                <w:szCs w:val="18"/>
              </w:rPr>
              <w:t>1</w:t>
            </w:r>
            <w:r w:rsidRPr="00025B12">
              <w:rPr>
                <w:rFonts w:ascii="Verdana" w:hAnsi="Verdana"/>
                <w:sz w:val="18"/>
                <w:szCs w:val="18"/>
              </w:rPr>
              <w:t>), které ve sledovaném období nabízely nějaký kurz, čímž je vytvořen odhad celkového počtu pracovníků. V případě externích pracovníků je možné, že je odhad poněkud nadhodnocen, neboť jedna osoba může působit v roli externího pracovníka pro více vzdělávacích společností, je proto vhodné počítat zvlášť externí a interní pracovníky.</w:t>
            </w:r>
          </w:p>
        </w:tc>
      </w:tr>
      <w:tr w:rsidR="00CB686A" w:rsidRPr="00025B12" w:rsidTr="00D131AA">
        <w:trPr>
          <w:trHeight w:val="1053"/>
        </w:trPr>
        <w:tc>
          <w:tcPr>
            <w:tcW w:w="10682" w:type="dxa"/>
            <w:gridSpan w:val="5"/>
          </w:tcPr>
          <w:p w:rsidR="00CB686A" w:rsidRPr="00025B12" w:rsidRDefault="00CB686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CB686A" w:rsidRPr="00025B12" w:rsidRDefault="00CB686A" w:rsidP="00D131AA">
            <w:pPr>
              <w:jc w:val="both"/>
              <w:rPr>
                <w:rFonts w:ascii="Verdana" w:hAnsi="Verdana"/>
                <w:sz w:val="18"/>
                <w:szCs w:val="18"/>
              </w:rPr>
            </w:pPr>
            <w:r w:rsidRPr="00025B12">
              <w:rPr>
                <w:rFonts w:ascii="Verdana" w:hAnsi="Verdana"/>
                <w:sz w:val="18"/>
                <w:szCs w:val="18"/>
              </w:rPr>
              <w:t>Indikátor vychází ze Sběru dat o akreditovaných a neakreditovaných kurze</w:t>
            </w:r>
            <w:r w:rsidR="004A5334" w:rsidRPr="00025B12">
              <w:rPr>
                <w:rFonts w:ascii="Verdana" w:hAnsi="Verdana"/>
                <w:sz w:val="18"/>
                <w:szCs w:val="18"/>
              </w:rPr>
              <w:t>ch dalšího vzdělávání prováděného</w:t>
            </w:r>
            <w:r w:rsidRPr="00025B12">
              <w:rPr>
                <w:rFonts w:ascii="Verdana" w:hAnsi="Verdana"/>
                <w:sz w:val="18"/>
                <w:szCs w:val="18"/>
              </w:rPr>
              <w:t xml:space="preserve"> Ústavem pro informace ve vzdělávání</w:t>
            </w:r>
            <w:r w:rsidR="004A5334" w:rsidRPr="00025B12">
              <w:rPr>
                <w:rFonts w:ascii="Verdana" w:hAnsi="Verdana"/>
                <w:sz w:val="18"/>
                <w:szCs w:val="18"/>
              </w:rPr>
              <w:t xml:space="preserve"> pro MŠMT</w:t>
            </w:r>
            <w:r w:rsidRPr="00025B12">
              <w:rPr>
                <w:rFonts w:ascii="Verdana" w:hAnsi="Verdana"/>
                <w:sz w:val="18"/>
                <w:szCs w:val="18"/>
              </w:rPr>
              <w:t>. Výsledky tohoto šetření jsou publikovány v podobě zprávy, regionální údaje zde nejsou k dispozici. Vzhledem k nepříliš vysoké návratnosti by regionální údaje zřejmě nebyly dostatečně spolehlivé. V posledních letech se však návratnost významně zlepšila, v budoucnu by proto bylo možné o regionálních údajích uvažovat.</w:t>
            </w:r>
          </w:p>
          <w:p w:rsidR="00CB686A" w:rsidRPr="00025B12" w:rsidRDefault="00CB686A" w:rsidP="00D131AA">
            <w:pPr>
              <w:jc w:val="both"/>
              <w:rPr>
                <w:rFonts w:ascii="Verdana" w:hAnsi="Verdana"/>
                <w:sz w:val="18"/>
                <w:szCs w:val="18"/>
              </w:rPr>
            </w:pPr>
            <w:r w:rsidRPr="00025B12">
              <w:rPr>
                <w:rFonts w:ascii="Verdana" w:hAnsi="Verdana"/>
                <w:sz w:val="18"/>
                <w:szCs w:val="18"/>
              </w:rPr>
              <w:t xml:space="preserve">Informace o dostupnosti dat z databází nabídky viz indikátor </w:t>
            </w:r>
            <w:r w:rsidR="00B40D75" w:rsidRPr="00025B12">
              <w:rPr>
                <w:rFonts w:ascii="Verdana" w:hAnsi="Verdana"/>
                <w:sz w:val="18"/>
                <w:szCs w:val="18"/>
              </w:rPr>
              <w:t>II.5.1</w:t>
            </w:r>
            <w:r w:rsidRPr="00025B12">
              <w:rPr>
                <w:rFonts w:ascii="Verdana" w:hAnsi="Verdana"/>
                <w:sz w:val="18"/>
                <w:szCs w:val="18"/>
              </w:rPr>
              <w:t>.</w:t>
            </w:r>
          </w:p>
        </w:tc>
      </w:tr>
      <w:tr w:rsidR="00CB686A" w:rsidRPr="00025B12" w:rsidTr="00D131AA">
        <w:trPr>
          <w:trHeight w:val="837"/>
        </w:trPr>
        <w:tc>
          <w:tcPr>
            <w:tcW w:w="10682" w:type="dxa"/>
            <w:gridSpan w:val="5"/>
          </w:tcPr>
          <w:p w:rsidR="00CB686A" w:rsidRPr="00025B12" w:rsidRDefault="00CB686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CB686A" w:rsidRPr="00025B12" w:rsidRDefault="00CB686A" w:rsidP="004A5334">
            <w:pPr>
              <w:jc w:val="both"/>
              <w:rPr>
                <w:rFonts w:ascii="Verdana" w:hAnsi="Verdana"/>
                <w:sz w:val="18"/>
                <w:szCs w:val="18"/>
              </w:rPr>
            </w:pPr>
            <w:r w:rsidRPr="00025B12">
              <w:rPr>
                <w:rFonts w:ascii="Verdana" w:hAnsi="Verdana"/>
                <w:sz w:val="18"/>
                <w:szCs w:val="18"/>
              </w:rPr>
              <w:t>Do roku 2009 je obsažena provizorní verze indikátoru, která počítá pouze se vzdělávacími společnostmi v databázi MŠMT bez ohledu na to, zda ve sledovaném období byly aktivní. Nejnovější data ze sběru dat jsou z roku 2</w:t>
            </w:r>
            <w:r w:rsidR="004A5334" w:rsidRPr="00025B12">
              <w:rPr>
                <w:rFonts w:ascii="Verdana" w:hAnsi="Verdana"/>
                <w:sz w:val="18"/>
                <w:szCs w:val="18"/>
              </w:rPr>
              <w:t>010</w:t>
            </w:r>
            <w:r w:rsidRPr="00025B12">
              <w:rPr>
                <w:rFonts w:ascii="Verdana" w:hAnsi="Verdana"/>
                <w:sz w:val="18"/>
                <w:szCs w:val="18"/>
              </w:rPr>
              <w:t>, nejstarší data z databází nabídky z roku 2010, proto není možné za starší roky odhad provést.</w:t>
            </w:r>
          </w:p>
        </w:tc>
      </w:tr>
    </w:tbl>
    <w:p w:rsidR="00CB686A" w:rsidRPr="00025B12" w:rsidRDefault="00CB686A" w:rsidP="00C43089">
      <w:pPr>
        <w:jc w:val="both"/>
        <w:rPr>
          <w:rFonts w:ascii="Verdana" w:hAnsi="Verdana"/>
          <w:sz w:val="20"/>
          <w:szCs w:val="20"/>
        </w:rPr>
      </w:pPr>
    </w:p>
    <w:p w:rsidR="00CB686A" w:rsidRPr="00025B12" w:rsidRDefault="00CB686A" w:rsidP="00C43089">
      <w:pPr>
        <w:jc w:val="both"/>
        <w:rPr>
          <w:rFonts w:ascii="Verdana" w:hAnsi="Verdana"/>
          <w:sz w:val="20"/>
          <w:szCs w:val="20"/>
        </w:rPr>
      </w:pPr>
      <w:r w:rsidRPr="00025B12">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58"/>
        <w:gridCol w:w="2303"/>
        <w:gridCol w:w="2126"/>
        <w:gridCol w:w="1749"/>
      </w:tblGrid>
      <w:tr w:rsidR="004C030B" w:rsidRPr="00025B12" w:rsidTr="00A20048">
        <w:trPr>
          <w:trHeight w:val="425"/>
        </w:trPr>
        <w:tc>
          <w:tcPr>
            <w:tcW w:w="1452" w:type="dxa"/>
            <w:tcBorders>
              <w:bottom w:val="single" w:sz="4" w:space="0" w:color="auto"/>
              <w:right w:val="single" w:sz="4" w:space="0" w:color="auto"/>
            </w:tcBorders>
            <w:shd w:val="clear" w:color="auto" w:fill="663399"/>
            <w:vAlign w:val="center"/>
          </w:tcPr>
          <w:p w:rsidR="004C030B" w:rsidRPr="00025B12" w:rsidRDefault="004C030B" w:rsidP="00A9209D">
            <w:pPr>
              <w:pStyle w:val="Kd"/>
              <w:rPr>
                <w:sz w:val="18"/>
                <w:szCs w:val="18"/>
              </w:rPr>
            </w:pPr>
            <w:r w:rsidRPr="00025B12">
              <w:rPr>
                <w:sz w:val="18"/>
                <w:szCs w:val="18"/>
              </w:rPr>
              <w:br w:type="page"/>
            </w:r>
            <w:r w:rsidRPr="00025B12">
              <w:rPr>
                <w:sz w:val="18"/>
                <w:szCs w:val="18"/>
              </w:rPr>
              <w:br w:type="page"/>
            </w:r>
            <w:bookmarkStart w:id="84" w:name="II41"/>
            <w:r w:rsidRPr="00025B12">
              <w:rPr>
                <w:sz w:val="18"/>
                <w:szCs w:val="18"/>
              </w:rPr>
              <w:t>II.4.</w:t>
            </w:r>
            <w:r w:rsidR="008D36D8" w:rsidRPr="00025B12">
              <w:rPr>
                <w:sz w:val="18"/>
                <w:szCs w:val="18"/>
              </w:rPr>
              <w:t>d</w:t>
            </w:r>
            <w:r w:rsidRPr="00025B12">
              <w:rPr>
                <w:sz w:val="18"/>
                <w:szCs w:val="18"/>
              </w:rPr>
              <w:t>1</w:t>
            </w:r>
            <w:bookmarkEnd w:id="84"/>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4C030B" w:rsidRPr="00025B12" w:rsidRDefault="004C030B" w:rsidP="00FA0F63">
            <w:pPr>
              <w:spacing w:after="0" w:line="240" w:lineRule="auto"/>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w:t>
            </w:r>
            <w:r w:rsidR="00FA0F63">
              <w:rPr>
                <w:rFonts w:ascii="Verdana" w:eastAsiaTheme="minorHAnsi" w:hAnsi="Verdana" w:cstheme="minorBidi"/>
                <w:b/>
                <w:color w:val="FFFFFF" w:themeColor="background1"/>
              </w:rPr>
              <w:t>et</w:t>
            </w:r>
            <w:r w:rsidRPr="00025B12">
              <w:rPr>
                <w:rFonts w:ascii="Verdana" w:eastAsiaTheme="minorHAnsi" w:hAnsi="Verdana" w:cstheme="minorBidi"/>
                <w:b/>
                <w:color w:val="FFFFFF" w:themeColor="background1"/>
              </w:rPr>
              <w:t xml:space="preserve"> osob </w:t>
            </w:r>
            <w:r w:rsidR="003557B7" w:rsidRPr="00025B12">
              <w:rPr>
                <w:rFonts w:ascii="Verdana" w:eastAsiaTheme="minorHAnsi" w:hAnsi="Verdana" w:cstheme="minorBidi"/>
                <w:b/>
                <w:color w:val="FFFFFF" w:themeColor="background1"/>
              </w:rPr>
              <w:t>pracujících</w:t>
            </w:r>
            <w:r w:rsidR="00287D78" w:rsidRPr="00025B12">
              <w:rPr>
                <w:rFonts w:ascii="Verdana" w:eastAsiaTheme="minorHAnsi" w:hAnsi="Verdana" w:cstheme="minorBidi"/>
                <w:b/>
                <w:color w:val="FFFFFF" w:themeColor="background1"/>
              </w:rPr>
              <w:t xml:space="preserve"> jako</w:t>
            </w:r>
            <w:r w:rsidR="00EC4542">
              <w:rPr>
                <w:rFonts w:ascii="Verdana" w:eastAsiaTheme="minorHAnsi" w:hAnsi="Verdana" w:cstheme="minorBidi"/>
                <w:b/>
                <w:color w:val="FFFFFF" w:themeColor="background1"/>
              </w:rPr>
              <w:t xml:space="preserve"> p</w:t>
            </w:r>
            <w:r w:rsidRPr="00025B12">
              <w:rPr>
                <w:rFonts w:ascii="Verdana" w:eastAsiaTheme="minorHAnsi" w:hAnsi="Verdana" w:cstheme="minorBidi"/>
                <w:b/>
                <w:color w:val="FFFFFF" w:themeColor="background1"/>
              </w:rPr>
              <w:t xml:space="preserve">edagog </w:t>
            </w:r>
            <w:r w:rsidR="00EC4542">
              <w:rPr>
                <w:rFonts w:ascii="Verdana" w:eastAsiaTheme="minorHAnsi" w:hAnsi="Verdana" w:cstheme="minorBidi"/>
                <w:b/>
                <w:color w:val="FFFFFF" w:themeColor="background1"/>
              </w:rPr>
              <w:t xml:space="preserve">v oblasti </w:t>
            </w:r>
            <w:r w:rsidRPr="00025B12">
              <w:rPr>
                <w:rFonts w:ascii="Verdana" w:eastAsiaTheme="minorHAnsi" w:hAnsi="Verdana" w:cstheme="minorBidi"/>
                <w:b/>
                <w:color w:val="FFFFFF" w:themeColor="background1"/>
              </w:rPr>
              <w:t>dalšího vzdělávání</w:t>
            </w:r>
          </w:p>
        </w:tc>
      </w:tr>
      <w:tr w:rsidR="00A20048" w:rsidRPr="00025B12" w:rsidTr="00A20048">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A20048" w:rsidRPr="00025B12" w:rsidRDefault="00A20048" w:rsidP="00A2004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36" w:type="dxa"/>
            <w:gridSpan w:val="4"/>
            <w:vMerge/>
            <w:tcBorders>
              <w:left w:val="single" w:sz="4" w:space="0" w:color="auto"/>
              <w:bottom w:val="single" w:sz="4" w:space="0" w:color="auto"/>
              <w:right w:val="single"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p>
        </w:tc>
      </w:tr>
      <w:tr w:rsidR="004C030B" w:rsidRPr="00025B12" w:rsidTr="00296FE3">
        <w:trPr>
          <w:trHeight w:val="360"/>
        </w:trPr>
        <w:tc>
          <w:tcPr>
            <w:tcW w:w="1452" w:type="dxa"/>
            <w:tcBorders>
              <w:top w:val="single"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4C030B" w:rsidRPr="00025B12" w:rsidRDefault="004C030B"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C030B" w:rsidRPr="00025B12" w:rsidTr="00A20048">
        <w:trPr>
          <w:trHeight w:val="360"/>
        </w:trPr>
        <w:tc>
          <w:tcPr>
            <w:tcW w:w="1452" w:type="dxa"/>
            <w:tcBorders>
              <w:top w:val="dotted"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303"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26"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49" w:type="dxa"/>
            <w:tcBorders>
              <w:top w:val="dotted" w:sz="4" w:space="0" w:color="auto"/>
              <w:left w:val="dotted" w:sz="4" w:space="0" w:color="auto"/>
              <w:bottom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C030B" w:rsidRPr="00025B12" w:rsidTr="00A20048">
        <w:trPr>
          <w:trHeight w:val="360"/>
        </w:trPr>
        <w:tc>
          <w:tcPr>
            <w:tcW w:w="1452" w:type="dxa"/>
            <w:tcBorders>
              <w:top w:val="dotted"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4C030B" w:rsidRPr="00025B12" w:rsidRDefault="00665F1D" w:rsidP="00A9209D">
            <w:pPr>
              <w:spacing w:after="0" w:line="240" w:lineRule="auto"/>
              <w:jc w:val="center"/>
              <w:rPr>
                <w:rFonts w:ascii="Verdana" w:eastAsiaTheme="minorHAnsi" w:hAnsi="Verdana" w:cstheme="minorBidi"/>
                <w:sz w:val="18"/>
                <w:szCs w:val="18"/>
              </w:rPr>
            </w:pPr>
            <w:hyperlink w:anchor="VŠPS" w:history="1">
              <w:r w:rsidR="004C030B" w:rsidRPr="00025B12">
                <w:rPr>
                  <w:rStyle w:val="Hypertextovodkaz"/>
                  <w:rFonts w:ascii="Verdana" w:eastAsiaTheme="minorHAnsi" w:hAnsi="Verdana" w:cstheme="minorBidi"/>
                  <w:sz w:val="18"/>
                  <w:szCs w:val="18"/>
                </w:rPr>
                <w:t>VŠPS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bottom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2000</w:t>
            </w:r>
          </w:p>
        </w:tc>
      </w:tr>
      <w:tr w:rsidR="004C030B" w:rsidRPr="00025B12" w:rsidTr="00A20048">
        <w:trPr>
          <w:trHeight w:val="360"/>
        </w:trPr>
        <w:tc>
          <w:tcPr>
            <w:tcW w:w="1452" w:type="dxa"/>
            <w:tcBorders>
              <w:top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303"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26"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49" w:type="dxa"/>
            <w:tcBorders>
              <w:top w:val="dotted" w:sz="4" w:space="0" w:color="auto"/>
              <w:lef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C030B" w:rsidRPr="00025B12" w:rsidTr="00A20048">
        <w:trPr>
          <w:trHeight w:val="274"/>
        </w:trPr>
        <w:tc>
          <w:tcPr>
            <w:tcW w:w="7539" w:type="dxa"/>
            <w:gridSpan w:val="4"/>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749" w:type="dxa"/>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A20048">
        <w:trPr>
          <w:trHeight w:val="1319"/>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C030B" w:rsidRPr="00025B12" w:rsidRDefault="004C030B" w:rsidP="00A9209D">
            <w:pPr>
              <w:jc w:val="both"/>
              <w:rPr>
                <w:rFonts w:ascii="Verdana" w:hAnsi="Verdana"/>
                <w:sz w:val="18"/>
                <w:szCs w:val="18"/>
              </w:rPr>
            </w:pPr>
            <w:r w:rsidRPr="00025B12">
              <w:rPr>
                <w:rFonts w:ascii="Verdana" w:hAnsi="Verdana"/>
                <w:sz w:val="18"/>
                <w:szCs w:val="18"/>
              </w:rPr>
              <w:t>Počet osob pracujících jako pedagogové dalšího vzdělávání by měl zachycovat kapacitu lidských zdrojů, které jsou k dispozici pro další vzdělávání.</w:t>
            </w:r>
            <w:r w:rsidR="004A5334" w:rsidRPr="00025B12">
              <w:rPr>
                <w:rFonts w:ascii="Verdana" w:hAnsi="Verdana"/>
                <w:sz w:val="18"/>
                <w:szCs w:val="18"/>
              </w:rPr>
              <w:t xml:space="preserve"> Jedná se o alternativní, ale méně informativní indikátor k indikátoru II.4.1. Porovnáním těchto dvou indikátorů je možné zjistit, kolik z osob působících jako lektoři dalšího vzdělávání má tuto činnost jako hlavní profesi.</w:t>
            </w:r>
          </w:p>
        </w:tc>
      </w:tr>
      <w:tr w:rsidR="004C030B" w:rsidRPr="00025B12" w:rsidTr="00A20048">
        <w:trPr>
          <w:trHeight w:val="1485"/>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C030B" w:rsidRPr="00025B12" w:rsidRDefault="004C030B" w:rsidP="00A9209D">
            <w:pPr>
              <w:jc w:val="both"/>
              <w:rPr>
                <w:rFonts w:ascii="Verdana" w:hAnsi="Verdana"/>
                <w:sz w:val="18"/>
                <w:szCs w:val="18"/>
              </w:rPr>
            </w:pPr>
            <w:r w:rsidRPr="00025B12">
              <w:rPr>
                <w:rFonts w:ascii="Verdana" w:hAnsi="Verdana"/>
                <w:sz w:val="18"/>
                <w:szCs w:val="18"/>
              </w:rPr>
              <w:t xml:space="preserve">Indikátor představuje počet osob, které vykonávají činnost pedagogů dalšího vzdělávání jako svou hlavní </w:t>
            </w:r>
            <w:r w:rsidR="000E3298" w:rsidRPr="00025B12">
              <w:rPr>
                <w:rFonts w:ascii="Verdana" w:hAnsi="Verdana"/>
                <w:sz w:val="18"/>
                <w:szCs w:val="18"/>
              </w:rPr>
              <w:t xml:space="preserve">nebo vedlejší </w:t>
            </w:r>
            <w:r w:rsidRPr="00025B12">
              <w:rPr>
                <w:rFonts w:ascii="Verdana" w:hAnsi="Verdana"/>
                <w:sz w:val="18"/>
                <w:szCs w:val="18"/>
              </w:rPr>
              <w:t xml:space="preserve">profesi, jsou tedy klasifikováni ve skupině KZAM 3342. </w:t>
            </w:r>
          </w:p>
        </w:tc>
      </w:tr>
      <w:tr w:rsidR="004C030B" w:rsidRPr="00025B12" w:rsidTr="00A20048">
        <w:trPr>
          <w:trHeight w:val="1053"/>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C030B" w:rsidRPr="00025B12" w:rsidRDefault="004C030B" w:rsidP="00A9209D">
            <w:pPr>
              <w:jc w:val="both"/>
              <w:rPr>
                <w:rFonts w:ascii="Verdana" w:hAnsi="Verdana"/>
                <w:sz w:val="18"/>
                <w:szCs w:val="18"/>
              </w:rPr>
            </w:pPr>
            <w:r w:rsidRPr="00025B12">
              <w:rPr>
                <w:rFonts w:ascii="Verdana" w:hAnsi="Verdana"/>
                <w:sz w:val="18"/>
                <w:szCs w:val="18"/>
              </w:rPr>
              <w:t>Údaj vychází z Výběrového šetření pracovních sil a je dopočítáván z mikrodat. V mezinárodním srovnání nejsou takto podrobná data dostupná, řada evropských států totiž používá ve VŠPS pouze trojmístnou klasifikace KZAM. Protože se jedná o poměrně malou skupinu, není možné z důvodu spolehlivosti dat regionální členění. I rozdíly mezi jednotlivými lety mohou být ovlivněny statistickou spolehlivostí, proto jsou u indikátoru uváděny i 95% intervaly spolehlivosti.</w:t>
            </w:r>
          </w:p>
          <w:p w:rsidR="004C030B" w:rsidRPr="00025B12" w:rsidRDefault="004C030B" w:rsidP="00A9209D">
            <w:pPr>
              <w:jc w:val="both"/>
              <w:rPr>
                <w:rFonts w:ascii="Verdana" w:hAnsi="Verdana"/>
                <w:sz w:val="18"/>
                <w:szCs w:val="18"/>
              </w:rPr>
            </w:pPr>
          </w:p>
        </w:tc>
      </w:tr>
      <w:tr w:rsidR="004C030B" w:rsidRPr="00025B12" w:rsidTr="00A20048">
        <w:trPr>
          <w:trHeight w:val="837"/>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C030B" w:rsidRPr="00025B12" w:rsidRDefault="004C030B" w:rsidP="00A9209D">
            <w:pPr>
              <w:jc w:val="both"/>
              <w:rPr>
                <w:rFonts w:ascii="Verdana" w:hAnsi="Verdana"/>
                <w:sz w:val="18"/>
                <w:szCs w:val="18"/>
              </w:rPr>
            </w:pPr>
            <w:r w:rsidRPr="00025B12">
              <w:rPr>
                <w:rFonts w:ascii="Verdana" w:hAnsi="Verdana"/>
                <w:sz w:val="18"/>
                <w:szCs w:val="18"/>
              </w:rPr>
              <w:t>Velkým problémem tohoto indikátoru je, že celá řada lidí pracujících jako lektoři dalšího vzdělávání vykonává tuto činnost v rámci jiné odborné profese či ve spojení s vykonáváním pedagogické činnosti v počátečním vzdělávání a není zde tudíž zachycena.</w:t>
            </w:r>
          </w:p>
        </w:tc>
      </w:tr>
    </w:tbl>
    <w:p w:rsidR="004C030B" w:rsidRPr="00025B12" w:rsidRDefault="004C030B" w:rsidP="004C030B"/>
    <w:p w:rsidR="004C030B" w:rsidRPr="00025B12" w:rsidRDefault="004C030B" w:rsidP="004C030B">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
        <w:gridCol w:w="2015"/>
        <w:gridCol w:w="2206"/>
        <w:gridCol w:w="2019"/>
        <w:gridCol w:w="1637"/>
      </w:tblGrid>
      <w:tr w:rsidR="004C030B" w:rsidRPr="00025B12" w:rsidTr="00A20048">
        <w:trPr>
          <w:trHeight w:val="425"/>
        </w:trPr>
        <w:tc>
          <w:tcPr>
            <w:tcW w:w="1411" w:type="dxa"/>
            <w:tcBorders>
              <w:bottom w:val="single" w:sz="4" w:space="0" w:color="auto"/>
              <w:right w:val="single" w:sz="4" w:space="0" w:color="auto"/>
            </w:tcBorders>
            <w:shd w:val="clear" w:color="auto" w:fill="663399"/>
            <w:vAlign w:val="center"/>
          </w:tcPr>
          <w:p w:rsidR="004C030B" w:rsidRPr="00025B12" w:rsidRDefault="004C030B" w:rsidP="00A9209D">
            <w:pPr>
              <w:pStyle w:val="Kd"/>
              <w:rPr>
                <w:sz w:val="18"/>
                <w:szCs w:val="18"/>
              </w:rPr>
            </w:pPr>
            <w:r w:rsidRPr="00025B12">
              <w:rPr>
                <w:sz w:val="18"/>
                <w:szCs w:val="18"/>
              </w:rPr>
              <w:br w:type="page"/>
            </w:r>
            <w:r w:rsidRPr="00025B12">
              <w:rPr>
                <w:sz w:val="18"/>
                <w:szCs w:val="18"/>
              </w:rPr>
              <w:br w:type="page"/>
            </w:r>
            <w:bookmarkStart w:id="85" w:name="II42"/>
            <w:r w:rsidRPr="00025B12">
              <w:rPr>
                <w:sz w:val="18"/>
                <w:szCs w:val="18"/>
              </w:rPr>
              <w:t>II.4.</w:t>
            </w:r>
            <w:r w:rsidR="008D36D8" w:rsidRPr="00025B12">
              <w:rPr>
                <w:sz w:val="18"/>
                <w:szCs w:val="18"/>
              </w:rPr>
              <w:t>d</w:t>
            </w:r>
            <w:r w:rsidRPr="00025B12">
              <w:rPr>
                <w:sz w:val="18"/>
                <w:szCs w:val="18"/>
              </w:rPr>
              <w:t>2</w:t>
            </w:r>
            <w:bookmarkEnd w:id="85"/>
          </w:p>
        </w:tc>
        <w:tc>
          <w:tcPr>
            <w:tcW w:w="7877" w:type="dxa"/>
            <w:gridSpan w:val="4"/>
            <w:vMerge w:val="restart"/>
            <w:tcBorders>
              <w:top w:val="single" w:sz="4" w:space="0" w:color="auto"/>
              <w:left w:val="single" w:sz="4" w:space="0" w:color="auto"/>
              <w:right w:val="single" w:sz="4" w:space="0" w:color="auto"/>
            </w:tcBorders>
            <w:shd w:val="clear" w:color="auto" w:fill="663399"/>
            <w:vAlign w:val="center"/>
          </w:tcPr>
          <w:p w:rsidR="004C030B" w:rsidRPr="00025B12" w:rsidRDefault="004C030B" w:rsidP="00FA0F63">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 xml:space="preserve">Struktura </w:t>
            </w:r>
            <w:r w:rsidR="00FA0F63">
              <w:rPr>
                <w:rFonts w:ascii="Verdana" w:eastAsiaTheme="minorHAnsi" w:hAnsi="Verdana" w:cstheme="minorBidi"/>
                <w:b/>
                <w:color w:val="FFFFFF" w:themeColor="background1"/>
              </w:rPr>
              <w:t>lektorů ve</w:t>
            </w:r>
            <w:r w:rsidR="00424CD3" w:rsidRPr="00025B12">
              <w:rPr>
                <w:rFonts w:ascii="Verdana" w:eastAsiaTheme="minorHAnsi" w:hAnsi="Verdana" w:cstheme="minorBidi"/>
                <w:b/>
                <w:color w:val="FFFFFF" w:themeColor="background1"/>
              </w:rPr>
              <w:t xml:space="preserve"> </w:t>
            </w:r>
            <w:r w:rsidRPr="00025B12">
              <w:rPr>
                <w:rFonts w:ascii="Verdana" w:eastAsiaTheme="minorHAnsi" w:hAnsi="Verdana" w:cstheme="minorBidi"/>
                <w:b/>
                <w:color w:val="FFFFFF" w:themeColor="background1"/>
              </w:rPr>
              <w:t>vzdělávacích institucí</w:t>
            </w:r>
            <w:r w:rsidR="00FA0F63">
              <w:rPr>
                <w:rFonts w:ascii="Verdana" w:eastAsiaTheme="minorHAnsi" w:hAnsi="Verdana" w:cstheme="minorBidi"/>
                <w:b/>
                <w:color w:val="FFFFFF" w:themeColor="background1"/>
              </w:rPr>
              <w:t>ch</w:t>
            </w:r>
          </w:p>
        </w:tc>
      </w:tr>
      <w:tr w:rsidR="00A20048" w:rsidRPr="00025B12" w:rsidTr="00A20048">
        <w:trPr>
          <w:trHeight w:val="360"/>
        </w:trPr>
        <w:tc>
          <w:tcPr>
            <w:tcW w:w="1411" w:type="dxa"/>
            <w:tcBorders>
              <w:top w:val="single" w:sz="4" w:space="0" w:color="auto"/>
              <w:bottom w:val="single" w:sz="4" w:space="0" w:color="auto"/>
              <w:right w:val="single" w:sz="4" w:space="0" w:color="auto"/>
            </w:tcBorders>
            <w:shd w:val="clear" w:color="auto" w:fill="663399"/>
            <w:vAlign w:val="center"/>
          </w:tcPr>
          <w:p w:rsidR="00A20048" w:rsidRPr="00025B12" w:rsidRDefault="00A20048" w:rsidP="00A2004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77" w:type="dxa"/>
            <w:gridSpan w:val="4"/>
            <w:vMerge/>
            <w:tcBorders>
              <w:left w:val="single" w:sz="4" w:space="0" w:color="auto"/>
              <w:bottom w:val="single" w:sz="4" w:space="0" w:color="auto"/>
              <w:right w:val="single"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p>
        </w:tc>
      </w:tr>
      <w:tr w:rsidR="004C030B" w:rsidRPr="00025B12" w:rsidTr="00296FE3">
        <w:trPr>
          <w:trHeight w:val="360"/>
        </w:trPr>
        <w:tc>
          <w:tcPr>
            <w:tcW w:w="1411" w:type="dxa"/>
            <w:tcBorders>
              <w:top w:val="single"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2015"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06"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19"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37" w:type="dxa"/>
            <w:tcBorders>
              <w:top w:val="single" w:sz="4" w:space="0" w:color="auto"/>
              <w:left w:val="dotted" w:sz="4" w:space="0" w:color="auto"/>
              <w:bottom w:val="dotted" w:sz="4" w:space="0" w:color="auto"/>
            </w:tcBorders>
            <w:vAlign w:val="center"/>
          </w:tcPr>
          <w:p w:rsidR="004C030B" w:rsidRPr="00025B12" w:rsidRDefault="004C030B"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C030B" w:rsidRPr="00025B12" w:rsidTr="00A20048">
        <w:trPr>
          <w:trHeight w:val="360"/>
        </w:trPr>
        <w:tc>
          <w:tcPr>
            <w:tcW w:w="1411" w:type="dxa"/>
            <w:tcBorders>
              <w:top w:val="dotted"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2015"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06"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19"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37" w:type="dxa"/>
            <w:tcBorders>
              <w:top w:val="dotted" w:sz="4" w:space="0" w:color="auto"/>
              <w:left w:val="dotted" w:sz="4" w:space="0" w:color="auto"/>
              <w:bottom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C030B" w:rsidRPr="00025B12" w:rsidTr="00A20048">
        <w:trPr>
          <w:trHeight w:val="360"/>
        </w:trPr>
        <w:tc>
          <w:tcPr>
            <w:tcW w:w="1411" w:type="dxa"/>
            <w:tcBorders>
              <w:top w:val="dotted"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2015" w:type="dxa"/>
            <w:tcBorders>
              <w:top w:val="dotted" w:sz="4" w:space="0" w:color="auto"/>
              <w:left w:val="dotted" w:sz="4" w:space="0" w:color="auto"/>
              <w:bottom w:val="dotted" w:sz="4" w:space="0" w:color="auto"/>
              <w:right w:val="dotted" w:sz="4" w:space="0" w:color="auto"/>
            </w:tcBorders>
            <w:vAlign w:val="center"/>
          </w:tcPr>
          <w:p w:rsidR="004C030B" w:rsidRPr="00025B12" w:rsidRDefault="00665F1D" w:rsidP="00A9209D">
            <w:pPr>
              <w:spacing w:after="0" w:line="240" w:lineRule="auto"/>
              <w:jc w:val="center"/>
              <w:rPr>
                <w:rFonts w:ascii="Verdana" w:eastAsiaTheme="minorHAnsi" w:hAnsi="Verdana" w:cstheme="minorBidi"/>
                <w:sz w:val="18"/>
                <w:szCs w:val="18"/>
              </w:rPr>
            </w:pPr>
            <w:hyperlink w:anchor="Sběr_dat_UIV" w:history="1">
              <w:r w:rsidR="004C030B" w:rsidRPr="00025B12">
                <w:rPr>
                  <w:rStyle w:val="Hypertextovodkaz"/>
                  <w:rFonts w:ascii="Verdana" w:hAnsi="Verdana"/>
                  <w:sz w:val="18"/>
                  <w:szCs w:val="18"/>
                </w:rPr>
                <w:t>Sběr dat o akreditovaných a neakreditovaných kurzech DV</w:t>
              </w:r>
            </w:hyperlink>
          </w:p>
        </w:tc>
        <w:tc>
          <w:tcPr>
            <w:tcW w:w="2206"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ÚIV</w:t>
            </w:r>
          </w:p>
        </w:tc>
        <w:tc>
          <w:tcPr>
            <w:tcW w:w="2019"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37" w:type="dxa"/>
            <w:tcBorders>
              <w:top w:val="dotted" w:sz="4" w:space="0" w:color="auto"/>
              <w:left w:val="dotted" w:sz="4" w:space="0" w:color="auto"/>
              <w:bottom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2003-4 a 2007-10</w:t>
            </w:r>
          </w:p>
        </w:tc>
      </w:tr>
      <w:tr w:rsidR="004C030B" w:rsidRPr="00025B12" w:rsidTr="00A20048">
        <w:trPr>
          <w:trHeight w:val="360"/>
        </w:trPr>
        <w:tc>
          <w:tcPr>
            <w:tcW w:w="1411" w:type="dxa"/>
            <w:tcBorders>
              <w:top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2015"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06"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19"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37" w:type="dxa"/>
            <w:tcBorders>
              <w:top w:val="dotted" w:sz="4" w:space="0" w:color="auto"/>
              <w:lef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C030B" w:rsidRPr="00025B12" w:rsidTr="00A20048">
        <w:trPr>
          <w:trHeight w:val="274"/>
        </w:trPr>
        <w:tc>
          <w:tcPr>
            <w:tcW w:w="7651" w:type="dxa"/>
            <w:gridSpan w:val="4"/>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637" w:type="dxa"/>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A20048">
        <w:trPr>
          <w:trHeight w:val="1319"/>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C030B" w:rsidRPr="00025B12" w:rsidRDefault="004C030B" w:rsidP="00A9209D">
            <w:pPr>
              <w:jc w:val="both"/>
              <w:rPr>
                <w:rFonts w:ascii="Verdana" w:hAnsi="Verdana"/>
                <w:sz w:val="18"/>
                <w:szCs w:val="18"/>
              </w:rPr>
            </w:pPr>
            <w:r w:rsidRPr="00025B12">
              <w:rPr>
                <w:rFonts w:ascii="Verdana" w:hAnsi="Verdana"/>
                <w:sz w:val="18"/>
                <w:szCs w:val="18"/>
              </w:rPr>
              <w:t>Indikátor dává možnost vhledu do toho, jaká je struktura pracovníků vzdělávacích institucí</w:t>
            </w:r>
            <w:r w:rsidR="00B40D75" w:rsidRPr="00025B12">
              <w:rPr>
                <w:rFonts w:ascii="Verdana" w:hAnsi="Verdana"/>
                <w:sz w:val="18"/>
                <w:szCs w:val="18"/>
              </w:rPr>
              <w:t xml:space="preserve"> v členění na externí a interní</w:t>
            </w:r>
            <w:r w:rsidRPr="00025B12">
              <w:rPr>
                <w:rFonts w:ascii="Verdana" w:hAnsi="Verdana"/>
                <w:sz w:val="18"/>
                <w:szCs w:val="18"/>
              </w:rPr>
              <w:t>, ale především tvoří podkladová data pro výpočet indikátoru II.4</w:t>
            </w:r>
            <w:r w:rsidR="00B40D75" w:rsidRPr="00025B12">
              <w:rPr>
                <w:rFonts w:ascii="Verdana" w:hAnsi="Verdana"/>
                <w:sz w:val="18"/>
                <w:szCs w:val="18"/>
              </w:rPr>
              <w:t>.1</w:t>
            </w:r>
            <w:r w:rsidRPr="00025B12">
              <w:rPr>
                <w:rFonts w:ascii="Verdana" w:hAnsi="Verdana"/>
                <w:sz w:val="18"/>
                <w:szCs w:val="18"/>
              </w:rPr>
              <w:t>.</w:t>
            </w:r>
          </w:p>
        </w:tc>
      </w:tr>
      <w:tr w:rsidR="004C030B" w:rsidRPr="00025B12" w:rsidTr="00A20048">
        <w:trPr>
          <w:trHeight w:val="1485"/>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C030B" w:rsidRPr="00025B12" w:rsidRDefault="004C030B" w:rsidP="004A5334">
            <w:pPr>
              <w:jc w:val="both"/>
              <w:rPr>
                <w:rFonts w:ascii="Verdana" w:hAnsi="Verdana"/>
                <w:sz w:val="18"/>
                <w:szCs w:val="18"/>
              </w:rPr>
            </w:pPr>
            <w:r w:rsidRPr="00025B12">
              <w:rPr>
                <w:rFonts w:ascii="Verdana" w:hAnsi="Verdana"/>
                <w:sz w:val="18"/>
                <w:szCs w:val="18"/>
              </w:rPr>
              <w:t xml:space="preserve">Indikátor uvádí jednak průměrný počet </w:t>
            </w:r>
            <w:r w:rsidR="00424CD3" w:rsidRPr="00025B12">
              <w:rPr>
                <w:rFonts w:ascii="Verdana" w:hAnsi="Verdana"/>
                <w:sz w:val="18"/>
                <w:szCs w:val="18"/>
              </w:rPr>
              <w:t>lektorů</w:t>
            </w:r>
            <w:r w:rsidRPr="00025B12">
              <w:rPr>
                <w:rFonts w:ascii="Verdana" w:hAnsi="Verdana"/>
                <w:sz w:val="18"/>
                <w:szCs w:val="18"/>
              </w:rPr>
              <w:t xml:space="preserve"> ve vzdělávací instituci </w:t>
            </w:r>
            <w:r w:rsidR="004A5334" w:rsidRPr="00025B12">
              <w:rPr>
                <w:rFonts w:ascii="Verdana" w:hAnsi="Verdana"/>
                <w:sz w:val="18"/>
                <w:szCs w:val="18"/>
              </w:rPr>
              <w:t>v členění na externí a interní pracovníky.</w:t>
            </w:r>
          </w:p>
        </w:tc>
      </w:tr>
      <w:tr w:rsidR="004C030B" w:rsidRPr="00025B12" w:rsidTr="00A20048">
        <w:trPr>
          <w:trHeight w:val="1053"/>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C030B" w:rsidRPr="00025B12" w:rsidRDefault="004C030B" w:rsidP="00A9209D">
            <w:pPr>
              <w:jc w:val="both"/>
              <w:rPr>
                <w:rFonts w:ascii="Verdana" w:hAnsi="Verdana"/>
                <w:sz w:val="18"/>
                <w:szCs w:val="18"/>
              </w:rPr>
            </w:pPr>
            <w:r w:rsidRPr="00025B12">
              <w:rPr>
                <w:rFonts w:ascii="Verdana" w:hAnsi="Verdana"/>
                <w:sz w:val="18"/>
                <w:szCs w:val="18"/>
              </w:rPr>
              <w:t>Indikátor vychází ze Sběru dat o akreditovaných a neakreditovaných kurzech dalšího vzdělávání prováděném Ústavem pro informace ve vzdělávání. Výsledky tohoto šetření jsou publikovány v podobě zprávy, regionální údaje zde nejsou k dispozici. Vzhledem k nepříliš vysoké návratnosti by regionální údaje zřejmě nebyly dostatečně spolehlivé. V posledních letech se však návratnost významně zlepšila, v budoucnu by proto bylo možné o regionálních údajích uvažovat.</w:t>
            </w:r>
          </w:p>
        </w:tc>
      </w:tr>
      <w:tr w:rsidR="004C030B" w:rsidRPr="00025B12" w:rsidTr="00A20048">
        <w:trPr>
          <w:trHeight w:val="837"/>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C030B" w:rsidRPr="00025B12" w:rsidRDefault="00FF69A4" w:rsidP="00A9209D">
            <w:pPr>
              <w:jc w:val="both"/>
              <w:rPr>
                <w:rFonts w:ascii="Verdana" w:hAnsi="Verdana"/>
                <w:sz w:val="18"/>
                <w:szCs w:val="18"/>
              </w:rPr>
            </w:pPr>
            <w:r w:rsidRPr="00025B12">
              <w:rPr>
                <w:rFonts w:ascii="Verdana" w:hAnsi="Verdana"/>
                <w:sz w:val="18"/>
                <w:szCs w:val="18"/>
              </w:rPr>
              <w:t>-</w:t>
            </w:r>
          </w:p>
        </w:tc>
      </w:tr>
    </w:tbl>
    <w:p w:rsidR="004C030B" w:rsidRPr="00025B12" w:rsidRDefault="004C030B" w:rsidP="004C030B"/>
    <w:p w:rsidR="004C030B" w:rsidRPr="00025B12" w:rsidRDefault="004C030B" w:rsidP="004C030B">
      <w:r w:rsidRPr="00025B12">
        <w:br w:type="page"/>
      </w:r>
    </w:p>
    <w:p w:rsidR="004C030B" w:rsidRPr="00025B12" w:rsidRDefault="004C030B" w:rsidP="004C03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1642"/>
        <w:gridCol w:w="2291"/>
        <w:gridCol w:w="2113"/>
        <w:gridCol w:w="1794"/>
      </w:tblGrid>
      <w:tr w:rsidR="004C030B" w:rsidRPr="00025B12" w:rsidTr="00A310B7">
        <w:trPr>
          <w:trHeight w:val="425"/>
        </w:trPr>
        <w:tc>
          <w:tcPr>
            <w:tcW w:w="1448" w:type="dxa"/>
            <w:tcBorders>
              <w:bottom w:val="single" w:sz="4" w:space="0" w:color="auto"/>
              <w:right w:val="single" w:sz="4" w:space="0" w:color="auto"/>
            </w:tcBorders>
            <w:shd w:val="clear" w:color="auto" w:fill="663399"/>
            <w:vAlign w:val="center"/>
          </w:tcPr>
          <w:p w:rsidR="004C030B" w:rsidRPr="00025B12" w:rsidRDefault="004C030B" w:rsidP="00A9209D">
            <w:pPr>
              <w:pStyle w:val="Kd"/>
              <w:rPr>
                <w:sz w:val="18"/>
                <w:szCs w:val="18"/>
              </w:rPr>
            </w:pPr>
            <w:r w:rsidRPr="00025B12">
              <w:rPr>
                <w:sz w:val="18"/>
                <w:szCs w:val="18"/>
              </w:rPr>
              <w:br w:type="page"/>
            </w:r>
            <w:r w:rsidRPr="00025B12">
              <w:rPr>
                <w:sz w:val="18"/>
                <w:szCs w:val="18"/>
              </w:rPr>
              <w:br w:type="page"/>
            </w:r>
            <w:bookmarkStart w:id="86" w:name="II44"/>
            <w:r w:rsidRPr="00025B12">
              <w:rPr>
                <w:sz w:val="18"/>
                <w:szCs w:val="18"/>
              </w:rPr>
              <w:t>II.4.</w:t>
            </w:r>
            <w:bookmarkEnd w:id="86"/>
            <w:r w:rsidR="008D36D8" w:rsidRPr="00025B12">
              <w:rPr>
                <w:sz w:val="18"/>
                <w:szCs w:val="18"/>
              </w:rPr>
              <w:t>d3</w:t>
            </w:r>
          </w:p>
        </w:tc>
        <w:tc>
          <w:tcPr>
            <w:tcW w:w="7840" w:type="dxa"/>
            <w:gridSpan w:val="4"/>
            <w:vMerge w:val="restart"/>
            <w:tcBorders>
              <w:top w:val="single" w:sz="4" w:space="0" w:color="auto"/>
              <w:left w:val="single" w:sz="4" w:space="0" w:color="auto"/>
              <w:right w:val="single" w:sz="4" w:space="0" w:color="auto"/>
            </w:tcBorders>
            <w:shd w:val="clear" w:color="auto" w:fill="663399"/>
            <w:vAlign w:val="center"/>
          </w:tcPr>
          <w:p w:rsidR="00A655FE" w:rsidRPr="00025B12" w:rsidRDefault="004A5334" w:rsidP="00A655FE">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Lektoři dalšího vzdělávání s uznanou kvalifikací dle NSK</w:t>
            </w:r>
          </w:p>
        </w:tc>
      </w:tr>
      <w:tr w:rsidR="00A20048" w:rsidRPr="00025B12" w:rsidTr="00A310B7">
        <w:trPr>
          <w:trHeight w:val="360"/>
        </w:trPr>
        <w:tc>
          <w:tcPr>
            <w:tcW w:w="1448" w:type="dxa"/>
            <w:tcBorders>
              <w:top w:val="single" w:sz="4" w:space="0" w:color="auto"/>
              <w:bottom w:val="single" w:sz="4" w:space="0" w:color="auto"/>
              <w:right w:val="single" w:sz="4" w:space="0" w:color="auto"/>
            </w:tcBorders>
            <w:shd w:val="clear" w:color="auto" w:fill="663399"/>
            <w:vAlign w:val="center"/>
          </w:tcPr>
          <w:p w:rsidR="00A20048" w:rsidRPr="00025B12" w:rsidRDefault="00A20048" w:rsidP="00A2004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40" w:type="dxa"/>
            <w:gridSpan w:val="4"/>
            <w:vMerge/>
            <w:tcBorders>
              <w:left w:val="single" w:sz="4" w:space="0" w:color="auto"/>
              <w:bottom w:val="single" w:sz="4" w:space="0" w:color="auto"/>
              <w:right w:val="single"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p>
        </w:tc>
      </w:tr>
      <w:tr w:rsidR="004C030B" w:rsidRPr="00025B12" w:rsidTr="00296FE3">
        <w:trPr>
          <w:trHeight w:val="360"/>
        </w:trPr>
        <w:tc>
          <w:tcPr>
            <w:tcW w:w="1448" w:type="dxa"/>
            <w:tcBorders>
              <w:top w:val="single"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642"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91"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3"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94" w:type="dxa"/>
            <w:tcBorders>
              <w:top w:val="single" w:sz="4" w:space="0" w:color="auto"/>
              <w:left w:val="dotted" w:sz="4" w:space="0" w:color="auto"/>
              <w:bottom w:val="dotted" w:sz="4" w:space="0" w:color="auto"/>
            </w:tcBorders>
            <w:vAlign w:val="center"/>
          </w:tcPr>
          <w:p w:rsidR="004C030B" w:rsidRPr="00025B12" w:rsidRDefault="004C030B"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C030B" w:rsidRPr="00025B12" w:rsidTr="00A310B7">
        <w:trPr>
          <w:trHeight w:val="360"/>
        </w:trPr>
        <w:tc>
          <w:tcPr>
            <w:tcW w:w="1448" w:type="dxa"/>
            <w:tcBorders>
              <w:top w:val="dotted"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42"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91"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94" w:type="dxa"/>
            <w:tcBorders>
              <w:top w:val="dotted" w:sz="4" w:space="0" w:color="auto"/>
              <w:left w:val="dotted" w:sz="4" w:space="0" w:color="auto"/>
              <w:bottom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C030B" w:rsidRPr="00025B12" w:rsidTr="00A310B7">
        <w:trPr>
          <w:trHeight w:val="360"/>
        </w:trPr>
        <w:tc>
          <w:tcPr>
            <w:tcW w:w="1448" w:type="dxa"/>
            <w:tcBorders>
              <w:top w:val="dotted"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42" w:type="dxa"/>
            <w:tcBorders>
              <w:top w:val="dotted" w:sz="4" w:space="0" w:color="auto"/>
              <w:left w:val="dotted" w:sz="4" w:space="0" w:color="auto"/>
              <w:bottom w:val="dotted" w:sz="4" w:space="0" w:color="auto"/>
              <w:right w:val="dotted" w:sz="4" w:space="0" w:color="auto"/>
            </w:tcBorders>
            <w:vAlign w:val="center"/>
          </w:tcPr>
          <w:p w:rsidR="004C030B" w:rsidRPr="00025B12" w:rsidRDefault="00665F1D" w:rsidP="00A9209D">
            <w:pPr>
              <w:spacing w:after="0" w:line="240" w:lineRule="auto"/>
              <w:jc w:val="center"/>
              <w:rPr>
                <w:rFonts w:ascii="Verdana" w:eastAsiaTheme="minorHAnsi" w:hAnsi="Verdana" w:cstheme="minorBidi"/>
                <w:sz w:val="18"/>
                <w:szCs w:val="18"/>
              </w:rPr>
            </w:pPr>
            <w:hyperlink w:anchor="ISKA" w:history="1">
              <w:r w:rsidR="004C030B" w:rsidRPr="00025B12">
                <w:rPr>
                  <w:rStyle w:val="Hypertextovodkaz"/>
                  <w:rFonts w:ascii="Verdana" w:hAnsi="Verdana"/>
                  <w:sz w:val="18"/>
                  <w:szCs w:val="18"/>
                </w:rPr>
                <w:t>ISKA</w:t>
              </w:r>
            </w:hyperlink>
          </w:p>
        </w:tc>
        <w:tc>
          <w:tcPr>
            <w:tcW w:w="2291"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94" w:type="dxa"/>
            <w:tcBorders>
              <w:top w:val="dotted" w:sz="4" w:space="0" w:color="auto"/>
              <w:left w:val="dotted" w:sz="4" w:space="0" w:color="auto"/>
              <w:bottom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160234" w:rsidRPr="00025B12" w:rsidTr="00A310B7">
        <w:trPr>
          <w:trHeight w:val="360"/>
        </w:trPr>
        <w:tc>
          <w:tcPr>
            <w:tcW w:w="1448" w:type="dxa"/>
            <w:tcBorders>
              <w:top w:val="dotted" w:sz="4" w:space="0" w:color="auto"/>
              <w:right w:val="dotted" w:sz="4" w:space="0" w:color="auto"/>
            </w:tcBorders>
          </w:tcPr>
          <w:p w:rsidR="00160234" w:rsidRPr="00025B12" w:rsidRDefault="00160234"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42" w:type="dxa"/>
            <w:tcBorders>
              <w:top w:val="dotted" w:sz="4" w:space="0" w:color="auto"/>
              <w:left w:val="dotted" w:sz="4" w:space="0" w:color="auto"/>
              <w:right w:val="dotted" w:sz="4" w:space="0" w:color="auto"/>
            </w:tcBorders>
            <w:vAlign w:val="center"/>
          </w:tcPr>
          <w:p w:rsidR="00160234" w:rsidRPr="00025B12" w:rsidRDefault="00665F1D" w:rsidP="00160234">
            <w:pPr>
              <w:spacing w:after="0" w:line="240" w:lineRule="auto"/>
              <w:jc w:val="center"/>
              <w:rPr>
                <w:rFonts w:ascii="Verdana" w:eastAsiaTheme="minorHAnsi" w:hAnsi="Verdana" w:cstheme="minorBidi"/>
                <w:sz w:val="18"/>
                <w:szCs w:val="18"/>
              </w:rPr>
            </w:pPr>
            <w:hyperlink w:anchor="ISKA" w:history="1">
              <w:r w:rsidR="00160234" w:rsidRPr="00025B12">
                <w:rPr>
                  <w:rStyle w:val="Hypertextovodkaz"/>
                  <w:rFonts w:ascii="Verdana" w:hAnsi="Verdana"/>
                  <w:sz w:val="18"/>
                  <w:szCs w:val="18"/>
                </w:rPr>
                <w:t>ISKA</w:t>
              </w:r>
            </w:hyperlink>
          </w:p>
        </w:tc>
        <w:tc>
          <w:tcPr>
            <w:tcW w:w="2291" w:type="dxa"/>
            <w:tcBorders>
              <w:top w:val="dotted" w:sz="4" w:space="0" w:color="auto"/>
              <w:left w:val="dotted" w:sz="4" w:space="0" w:color="auto"/>
              <w:right w:val="dotted" w:sz="4" w:space="0" w:color="auto"/>
            </w:tcBorders>
            <w:vAlign w:val="center"/>
          </w:tcPr>
          <w:p w:rsidR="00160234" w:rsidRPr="00025B12" w:rsidRDefault="00160234"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right w:val="dotted" w:sz="4" w:space="0" w:color="auto"/>
            </w:tcBorders>
            <w:vAlign w:val="center"/>
          </w:tcPr>
          <w:p w:rsidR="00160234" w:rsidRPr="00025B12" w:rsidRDefault="00160234"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94" w:type="dxa"/>
            <w:tcBorders>
              <w:top w:val="dotted" w:sz="4" w:space="0" w:color="auto"/>
              <w:left w:val="dotted" w:sz="4" w:space="0" w:color="auto"/>
            </w:tcBorders>
            <w:vAlign w:val="center"/>
          </w:tcPr>
          <w:p w:rsidR="00160234" w:rsidRPr="00025B12" w:rsidRDefault="00160234"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4C030B" w:rsidRPr="00025B12" w:rsidTr="00A310B7">
        <w:trPr>
          <w:trHeight w:val="274"/>
        </w:trPr>
        <w:tc>
          <w:tcPr>
            <w:tcW w:w="7494" w:type="dxa"/>
            <w:gridSpan w:val="4"/>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794" w:type="dxa"/>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A310B7">
        <w:trPr>
          <w:trHeight w:val="1319"/>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C030B" w:rsidRPr="00025B12" w:rsidRDefault="004C030B" w:rsidP="004A5334">
            <w:pPr>
              <w:jc w:val="both"/>
              <w:rPr>
                <w:rFonts w:ascii="Verdana" w:hAnsi="Verdana"/>
                <w:sz w:val="18"/>
                <w:szCs w:val="18"/>
              </w:rPr>
            </w:pPr>
            <w:r w:rsidRPr="00025B12">
              <w:rPr>
                <w:rFonts w:ascii="Verdana" w:hAnsi="Verdana"/>
                <w:sz w:val="18"/>
                <w:szCs w:val="18"/>
              </w:rPr>
              <w:t xml:space="preserve">Indikátor se snaží postihnout rozsah </w:t>
            </w:r>
            <w:r w:rsidR="004A5334" w:rsidRPr="00025B12">
              <w:rPr>
                <w:rFonts w:ascii="Verdana" w:hAnsi="Verdana"/>
                <w:sz w:val="18"/>
                <w:szCs w:val="18"/>
              </w:rPr>
              <w:t>udělených kvalifikací pro vykonávání profese lektora</w:t>
            </w:r>
            <w:r w:rsidRPr="00025B12">
              <w:rPr>
                <w:rFonts w:ascii="Verdana" w:hAnsi="Verdana"/>
                <w:sz w:val="18"/>
                <w:szCs w:val="18"/>
              </w:rPr>
              <w:t xml:space="preserve"> další</w:t>
            </w:r>
            <w:r w:rsidR="004A5334" w:rsidRPr="00025B12">
              <w:rPr>
                <w:rFonts w:ascii="Verdana" w:hAnsi="Verdana"/>
                <w:sz w:val="18"/>
                <w:szCs w:val="18"/>
              </w:rPr>
              <w:t>ho</w:t>
            </w:r>
            <w:r w:rsidRPr="00025B12">
              <w:rPr>
                <w:rFonts w:ascii="Verdana" w:hAnsi="Verdana"/>
                <w:sz w:val="18"/>
                <w:szCs w:val="18"/>
              </w:rPr>
              <w:t xml:space="preserve"> vzdělávání. Díky přepočtu na velikost dospělé populace umožňuje hodnotit relativně, nakolik se kapacita mění v čase či mezi regiony.</w:t>
            </w:r>
          </w:p>
        </w:tc>
      </w:tr>
      <w:tr w:rsidR="004C030B" w:rsidRPr="00025B12" w:rsidTr="00A310B7">
        <w:trPr>
          <w:trHeight w:val="1485"/>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C030B" w:rsidRPr="00025B12" w:rsidRDefault="004C030B" w:rsidP="004A5334">
            <w:pPr>
              <w:jc w:val="both"/>
              <w:rPr>
                <w:rFonts w:ascii="Verdana" w:hAnsi="Verdana"/>
                <w:sz w:val="18"/>
                <w:szCs w:val="18"/>
              </w:rPr>
            </w:pPr>
            <w:r w:rsidRPr="00025B12">
              <w:rPr>
                <w:rFonts w:ascii="Verdana" w:hAnsi="Verdana"/>
                <w:sz w:val="18"/>
                <w:szCs w:val="18"/>
              </w:rPr>
              <w:t>Indikátor je vypočten jako podíl lektorů dalšího vzdělávání</w:t>
            </w:r>
            <w:r w:rsidR="007C3E03" w:rsidRPr="00025B12">
              <w:rPr>
                <w:rFonts w:ascii="Verdana" w:hAnsi="Verdana"/>
                <w:sz w:val="18"/>
                <w:szCs w:val="18"/>
              </w:rPr>
              <w:t>,</w:t>
            </w:r>
            <w:r w:rsidR="004A5334" w:rsidRPr="00025B12">
              <w:rPr>
                <w:rFonts w:ascii="Verdana" w:hAnsi="Verdana"/>
                <w:sz w:val="18"/>
                <w:szCs w:val="18"/>
              </w:rPr>
              <w:t xml:space="preserve"> kteří získali dílčí kvalifikaci pro tuto činnost</w:t>
            </w:r>
            <w:r w:rsidRPr="00025B12">
              <w:rPr>
                <w:rFonts w:ascii="Verdana" w:hAnsi="Verdana"/>
                <w:sz w:val="18"/>
                <w:szCs w:val="18"/>
              </w:rPr>
              <w:t xml:space="preserve"> v rámci NSK na 1000 obyvatel v dospělém věku.</w:t>
            </w:r>
          </w:p>
        </w:tc>
      </w:tr>
      <w:tr w:rsidR="004C030B" w:rsidRPr="00025B12" w:rsidTr="00A310B7">
        <w:trPr>
          <w:trHeight w:val="1053"/>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C030B" w:rsidRPr="00025B12" w:rsidRDefault="004C030B" w:rsidP="00A9209D">
            <w:pPr>
              <w:jc w:val="both"/>
              <w:rPr>
                <w:rFonts w:ascii="Verdana" w:hAnsi="Verdana"/>
                <w:sz w:val="18"/>
                <w:szCs w:val="18"/>
              </w:rPr>
            </w:pPr>
            <w:r w:rsidRPr="00025B12">
              <w:rPr>
                <w:rFonts w:ascii="Verdana" w:hAnsi="Verdana"/>
                <w:sz w:val="18"/>
                <w:szCs w:val="18"/>
              </w:rPr>
              <w:t>Data pro indikátor by měla být v budoucnu získávána z informačního systému ISKA, který bude sloužit pro evidenci kvalifikací a autorizací v rámci systému uznávání výsledků dalšího vzdělávání. Údaje by měly být k dispozici v celorepublikové i regionální podobě.</w:t>
            </w:r>
          </w:p>
        </w:tc>
      </w:tr>
      <w:tr w:rsidR="004C030B" w:rsidRPr="00025B12" w:rsidTr="00A310B7">
        <w:trPr>
          <w:trHeight w:val="837"/>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C030B" w:rsidRPr="00025B12" w:rsidRDefault="004C030B" w:rsidP="00A9209D">
            <w:pPr>
              <w:jc w:val="both"/>
              <w:rPr>
                <w:rFonts w:ascii="Verdana" w:hAnsi="Verdana"/>
                <w:sz w:val="18"/>
                <w:szCs w:val="18"/>
              </w:rPr>
            </w:pPr>
            <w:r w:rsidRPr="00025B12">
              <w:rPr>
                <w:rFonts w:ascii="Verdana" w:hAnsi="Verdana"/>
                <w:sz w:val="18"/>
                <w:szCs w:val="18"/>
              </w:rPr>
              <w:t>Kvalifikace lektor dalšího vzdělávání zatím není vytvořena, indikátor je plánován výhledově.</w:t>
            </w:r>
          </w:p>
        </w:tc>
      </w:tr>
    </w:tbl>
    <w:p w:rsidR="004C030B" w:rsidRPr="00025B12" w:rsidRDefault="004C030B" w:rsidP="004C030B"/>
    <w:p w:rsidR="004C030B" w:rsidRPr="00025B12" w:rsidRDefault="004C030B" w:rsidP="004C030B">
      <w:r w:rsidRPr="00025B12">
        <w:br w:type="page"/>
      </w:r>
    </w:p>
    <w:p w:rsidR="00C43089" w:rsidRPr="00025B12" w:rsidRDefault="00C43089" w:rsidP="000C6631">
      <w:pPr>
        <w:jc w:val="both"/>
        <w:outlineLvl w:val="0"/>
        <w:rPr>
          <w:rFonts w:ascii="Verdana" w:hAnsi="Verdana"/>
          <w:b/>
          <w:sz w:val="24"/>
          <w:szCs w:val="24"/>
        </w:rPr>
      </w:pPr>
      <w:r w:rsidRPr="00025B12">
        <w:rPr>
          <w:rFonts w:ascii="Verdana" w:hAnsi="Verdana"/>
          <w:b/>
          <w:sz w:val="24"/>
          <w:szCs w:val="24"/>
        </w:rPr>
        <w:t>II.5 Poskytovatelé dalšího vzdělávání</w:t>
      </w:r>
    </w:p>
    <w:p w:rsidR="00307F3A" w:rsidRPr="00025B12" w:rsidRDefault="00307F3A" w:rsidP="000C6631">
      <w:pPr>
        <w:jc w:val="both"/>
        <w:outlineLvl w:val="0"/>
        <w:rPr>
          <w:rFonts w:ascii="Verdana" w:hAnsi="Verdan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1741"/>
        <w:gridCol w:w="2280"/>
        <w:gridCol w:w="2101"/>
        <w:gridCol w:w="1723"/>
      </w:tblGrid>
      <w:tr w:rsidR="00307F3A" w:rsidRPr="00025B12" w:rsidTr="00D131AA">
        <w:trPr>
          <w:trHeight w:val="425"/>
        </w:trPr>
        <w:tc>
          <w:tcPr>
            <w:tcW w:w="1443" w:type="dxa"/>
            <w:tcBorders>
              <w:bottom w:val="single" w:sz="4" w:space="0" w:color="auto"/>
              <w:right w:val="single" w:sz="4" w:space="0" w:color="auto"/>
            </w:tcBorders>
            <w:shd w:val="clear" w:color="auto" w:fill="663399"/>
            <w:vAlign w:val="center"/>
          </w:tcPr>
          <w:p w:rsidR="00307F3A" w:rsidRPr="00025B12" w:rsidRDefault="00307F3A" w:rsidP="00D131AA">
            <w:pPr>
              <w:pStyle w:val="Kd"/>
              <w:rPr>
                <w:sz w:val="18"/>
                <w:szCs w:val="18"/>
              </w:rPr>
            </w:pPr>
            <w:r w:rsidRPr="00025B12">
              <w:rPr>
                <w:sz w:val="18"/>
                <w:szCs w:val="18"/>
              </w:rPr>
              <w:br w:type="page"/>
            </w:r>
            <w:r w:rsidRPr="00025B12">
              <w:rPr>
                <w:sz w:val="18"/>
                <w:szCs w:val="18"/>
              </w:rPr>
              <w:br w:type="page"/>
            </w:r>
            <w:bookmarkStart w:id="87" w:name="II52"/>
            <w:r w:rsidRPr="00025B12">
              <w:rPr>
                <w:sz w:val="18"/>
                <w:szCs w:val="18"/>
              </w:rPr>
              <w:t>II.5.</w:t>
            </w:r>
            <w:bookmarkEnd w:id="87"/>
            <w:r w:rsidRPr="00025B12">
              <w:rPr>
                <w:sz w:val="18"/>
                <w:szCs w:val="18"/>
              </w:rPr>
              <w:t>1</w:t>
            </w:r>
          </w:p>
        </w:tc>
        <w:tc>
          <w:tcPr>
            <w:tcW w:w="7845" w:type="dxa"/>
            <w:gridSpan w:val="4"/>
            <w:vMerge w:val="restart"/>
            <w:tcBorders>
              <w:top w:val="single" w:sz="4" w:space="0" w:color="auto"/>
              <w:left w:val="single" w:sz="4" w:space="0" w:color="auto"/>
              <w:right w:val="single" w:sz="4" w:space="0" w:color="auto"/>
            </w:tcBorders>
            <w:shd w:val="clear" w:color="auto" w:fill="663399"/>
            <w:vAlign w:val="center"/>
          </w:tcPr>
          <w:p w:rsidR="00307F3A" w:rsidRPr="00025B12" w:rsidRDefault="00307F3A"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Počet a struktura poskytovatelů na trhu dalšího vzdělávání</w:t>
            </w:r>
          </w:p>
        </w:tc>
      </w:tr>
      <w:tr w:rsidR="00307F3A" w:rsidRPr="00025B12" w:rsidTr="00D131AA">
        <w:trPr>
          <w:trHeight w:val="360"/>
        </w:trPr>
        <w:tc>
          <w:tcPr>
            <w:tcW w:w="1443" w:type="dxa"/>
            <w:tcBorders>
              <w:top w:val="single" w:sz="4" w:space="0" w:color="auto"/>
              <w:bottom w:val="single" w:sz="4" w:space="0" w:color="auto"/>
              <w:right w:val="single" w:sz="4" w:space="0" w:color="auto"/>
            </w:tcBorders>
            <w:shd w:val="clear" w:color="auto" w:fill="663399"/>
            <w:vAlign w:val="center"/>
          </w:tcPr>
          <w:p w:rsidR="00307F3A" w:rsidRPr="00025B12" w:rsidRDefault="00307F3A"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45" w:type="dxa"/>
            <w:gridSpan w:val="4"/>
            <w:vMerge/>
            <w:tcBorders>
              <w:left w:val="single" w:sz="4" w:space="0" w:color="auto"/>
              <w:bottom w:val="single" w:sz="4" w:space="0" w:color="auto"/>
              <w:right w:val="single" w:sz="4" w:space="0" w:color="auto"/>
            </w:tcBorders>
            <w:vAlign w:val="center"/>
          </w:tcPr>
          <w:p w:rsidR="00307F3A" w:rsidRPr="00025B12" w:rsidRDefault="00307F3A" w:rsidP="00D131AA">
            <w:pPr>
              <w:spacing w:after="0" w:line="240" w:lineRule="auto"/>
              <w:jc w:val="center"/>
              <w:rPr>
                <w:rFonts w:ascii="Verdana" w:eastAsiaTheme="minorHAnsi" w:hAnsi="Verdana" w:cstheme="minorBidi"/>
                <w:sz w:val="18"/>
                <w:szCs w:val="18"/>
              </w:rPr>
            </w:pPr>
          </w:p>
        </w:tc>
      </w:tr>
      <w:tr w:rsidR="00307F3A" w:rsidRPr="00025B12" w:rsidTr="00296FE3">
        <w:trPr>
          <w:trHeight w:val="360"/>
        </w:trPr>
        <w:tc>
          <w:tcPr>
            <w:tcW w:w="1443" w:type="dxa"/>
            <w:tcBorders>
              <w:top w:val="single" w:sz="4" w:space="0" w:color="auto"/>
              <w:bottom w:val="dotted" w:sz="4" w:space="0" w:color="auto"/>
              <w:right w:val="dotted" w:sz="4" w:space="0" w:color="auto"/>
            </w:tcBorders>
          </w:tcPr>
          <w:p w:rsidR="00307F3A" w:rsidRPr="00025B12" w:rsidRDefault="00307F3A" w:rsidP="00D131AA">
            <w:pPr>
              <w:spacing w:after="0" w:line="240" w:lineRule="auto"/>
              <w:jc w:val="center"/>
              <w:rPr>
                <w:rFonts w:ascii="Verdana" w:eastAsiaTheme="minorHAnsi" w:hAnsi="Verdana" w:cstheme="minorBidi"/>
                <w:sz w:val="18"/>
                <w:szCs w:val="18"/>
              </w:rPr>
            </w:pPr>
          </w:p>
        </w:tc>
        <w:tc>
          <w:tcPr>
            <w:tcW w:w="1741" w:type="dxa"/>
            <w:tcBorders>
              <w:top w:val="single" w:sz="4" w:space="0" w:color="auto"/>
              <w:left w:val="dotted" w:sz="4" w:space="0" w:color="auto"/>
              <w:bottom w:val="dotted" w:sz="4" w:space="0" w:color="auto"/>
              <w:right w:val="dotted" w:sz="4" w:space="0" w:color="auto"/>
            </w:tcBorders>
            <w:vAlign w:val="center"/>
          </w:tcPr>
          <w:p w:rsidR="00307F3A" w:rsidRPr="00025B12" w:rsidRDefault="00307F3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80" w:type="dxa"/>
            <w:tcBorders>
              <w:top w:val="single" w:sz="4" w:space="0" w:color="auto"/>
              <w:left w:val="dotted" w:sz="4" w:space="0" w:color="auto"/>
              <w:bottom w:val="dotted" w:sz="4" w:space="0" w:color="auto"/>
              <w:right w:val="dotted" w:sz="4" w:space="0" w:color="auto"/>
            </w:tcBorders>
            <w:vAlign w:val="center"/>
          </w:tcPr>
          <w:p w:rsidR="00307F3A" w:rsidRPr="00025B12" w:rsidRDefault="00307F3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01" w:type="dxa"/>
            <w:tcBorders>
              <w:top w:val="single" w:sz="4" w:space="0" w:color="auto"/>
              <w:left w:val="dotted" w:sz="4" w:space="0" w:color="auto"/>
              <w:bottom w:val="dotted" w:sz="4" w:space="0" w:color="auto"/>
              <w:right w:val="dotted" w:sz="4" w:space="0" w:color="auto"/>
            </w:tcBorders>
            <w:vAlign w:val="center"/>
          </w:tcPr>
          <w:p w:rsidR="00307F3A" w:rsidRPr="00025B12" w:rsidRDefault="00307F3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23" w:type="dxa"/>
            <w:tcBorders>
              <w:top w:val="single" w:sz="4" w:space="0" w:color="auto"/>
              <w:left w:val="dotted" w:sz="4" w:space="0" w:color="auto"/>
              <w:bottom w:val="dotted" w:sz="4" w:space="0" w:color="auto"/>
            </w:tcBorders>
            <w:vAlign w:val="center"/>
          </w:tcPr>
          <w:p w:rsidR="00307F3A" w:rsidRPr="00025B12" w:rsidRDefault="00307F3A"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307F3A" w:rsidRPr="00025B12" w:rsidTr="00D131AA">
        <w:trPr>
          <w:trHeight w:val="360"/>
        </w:trPr>
        <w:tc>
          <w:tcPr>
            <w:tcW w:w="1443" w:type="dxa"/>
            <w:tcBorders>
              <w:top w:val="dotted" w:sz="4" w:space="0" w:color="auto"/>
              <w:bottom w:val="dotted" w:sz="4" w:space="0" w:color="auto"/>
              <w:right w:val="dotted" w:sz="4" w:space="0" w:color="auto"/>
            </w:tcBorders>
          </w:tcPr>
          <w:p w:rsidR="00307F3A" w:rsidRPr="00025B12" w:rsidRDefault="00307F3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741" w:type="dxa"/>
            <w:tcBorders>
              <w:top w:val="dotted" w:sz="4" w:space="0" w:color="auto"/>
              <w:left w:val="dotted" w:sz="4" w:space="0" w:color="auto"/>
              <w:bottom w:val="dotted" w:sz="4" w:space="0" w:color="auto"/>
              <w:right w:val="dotted" w:sz="4" w:space="0" w:color="auto"/>
            </w:tcBorders>
            <w:vAlign w:val="center"/>
          </w:tcPr>
          <w:p w:rsidR="00307F3A" w:rsidRPr="00025B12" w:rsidRDefault="00307F3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80" w:type="dxa"/>
            <w:tcBorders>
              <w:top w:val="dotted" w:sz="4" w:space="0" w:color="auto"/>
              <w:left w:val="dotted" w:sz="4" w:space="0" w:color="auto"/>
              <w:bottom w:val="dotted" w:sz="4" w:space="0" w:color="auto"/>
              <w:right w:val="dotted" w:sz="4" w:space="0" w:color="auto"/>
            </w:tcBorders>
            <w:vAlign w:val="center"/>
          </w:tcPr>
          <w:p w:rsidR="00307F3A" w:rsidRPr="00025B12" w:rsidRDefault="00307F3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01" w:type="dxa"/>
            <w:tcBorders>
              <w:top w:val="dotted" w:sz="4" w:space="0" w:color="auto"/>
              <w:left w:val="dotted" w:sz="4" w:space="0" w:color="auto"/>
              <w:bottom w:val="dotted" w:sz="4" w:space="0" w:color="auto"/>
              <w:right w:val="dotted" w:sz="4" w:space="0" w:color="auto"/>
            </w:tcBorders>
            <w:vAlign w:val="center"/>
          </w:tcPr>
          <w:p w:rsidR="00307F3A" w:rsidRPr="00025B12" w:rsidRDefault="00307F3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23" w:type="dxa"/>
            <w:tcBorders>
              <w:top w:val="dotted" w:sz="4" w:space="0" w:color="auto"/>
              <w:left w:val="dotted" w:sz="4" w:space="0" w:color="auto"/>
              <w:bottom w:val="dotted" w:sz="4" w:space="0" w:color="auto"/>
            </w:tcBorders>
            <w:vAlign w:val="center"/>
          </w:tcPr>
          <w:p w:rsidR="00307F3A" w:rsidRPr="00025B12" w:rsidRDefault="00307F3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307F3A" w:rsidRPr="00025B12" w:rsidTr="00D131AA">
        <w:trPr>
          <w:trHeight w:val="360"/>
        </w:trPr>
        <w:tc>
          <w:tcPr>
            <w:tcW w:w="1443" w:type="dxa"/>
            <w:tcBorders>
              <w:top w:val="dotted" w:sz="4" w:space="0" w:color="auto"/>
              <w:bottom w:val="dotted" w:sz="4" w:space="0" w:color="auto"/>
              <w:right w:val="dotted" w:sz="4" w:space="0" w:color="auto"/>
            </w:tcBorders>
          </w:tcPr>
          <w:p w:rsidR="00307F3A" w:rsidRPr="00025B12" w:rsidRDefault="00307F3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741" w:type="dxa"/>
            <w:tcBorders>
              <w:top w:val="dotted" w:sz="4" w:space="0" w:color="auto"/>
              <w:left w:val="dotted" w:sz="4" w:space="0" w:color="auto"/>
              <w:bottom w:val="dotted" w:sz="4" w:space="0" w:color="auto"/>
              <w:right w:val="dotted" w:sz="4" w:space="0" w:color="auto"/>
            </w:tcBorders>
            <w:vAlign w:val="center"/>
          </w:tcPr>
          <w:p w:rsidR="00307F3A" w:rsidRPr="00025B12" w:rsidRDefault="00665F1D" w:rsidP="00D131AA">
            <w:pPr>
              <w:spacing w:after="0" w:line="240" w:lineRule="auto"/>
              <w:jc w:val="center"/>
              <w:rPr>
                <w:rFonts w:ascii="Verdana" w:eastAsiaTheme="minorHAnsi" w:hAnsi="Verdana" w:cstheme="minorBidi"/>
                <w:sz w:val="18"/>
                <w:szCs w:val="18"/>
              </w:rPr>
            </w:pPr>
            <w:hyperlink w:anchor="Databáze_nabídky" w:history="1">
              <w:r w:rsidR="00307F3A" w:rsidRPr="00025B12">
                <w:rPr>
                  <w:rStyle w:val="Hypertextovodkaz"/>
                  <w:rFonts w:ascii="Verdana" w:eastAsiaTheme="minorHAnsi" w:hAnsi="Verdana" w:cstheme="minorBidi"/>
                  <w:sz w:val="18"/>
                  <w:szCs w:val="18"/>
                </w:rPr>
                <w:t>Databáze nabídky</w:t>
              </w:r>
            </w:hyperlink>
          </w:p>
        </w:tc>
        <w:tc>
          <w:tcPr>
            <w:tcW w:w="2280" w:type="dxa"/>
            <w:tcBorders>
              <w:top w:val="dotted" w:sz="4" w:space="0" w:color="auto"/>
              <w:left w:val="dotted" w:sz="4" w:space="0" w:color="auto"/>
              <w:bottom w:val="dotted" w:sz="4" w:space="0" w:color="auto"/>
              <w:right w:val="dotted" w:sz="4" w:space="0" w:color="auto"/>
            </w:tcBorders>
            <w:vAlign w:val="center"/>
          </w:tcPr>
          <w:p w:rsidR="00307F3A" w:rsidRPr="00025B12" w:rsidRDefault="00307F3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Provozovatelé databází</w:t>
            </w:r>
          </w:p>
        </w:tc>
        <w:tc>
          <w:tcPr>
            <w:tcW w:w="2101" w:type="dxa"/>
            <w:tcBorders>
              <w:top w:val="dotted" w:sz="4" w:space="0" w:color="auto"/>
              <w:left w:val="dotted" w:sz="4" w:space="0" w:color="auto"/>
              <w:bottom w:val="dotted" w:sz="4" w:space="0" w:color="auto"/>
              <w:right w:val="dotted" w:sz="4" w:space="0" w:color="auto"/>
            </w:tcBorders>
            <w:vAlign w:val="center"/>
          </w:tcPr>
          <w:p w:rsidR="00307F3A" w:rsidRPr="00025B12" w:rsidRDefault="00307F3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½ roku</w:t>
            </w:r>
          </w:p>
        </w:tc>
        <w:tc>
          <w:tcPr>
            <w:tcW w:w="1723" w:type="dxa"/>
            <w:tcBorders>
              <w:top w:val="dotted" w:sz="4" w:space="0" w:color="auto"/>
              <w:left w:val="dotted" w:sz="4" w:space="0" w:color="auto"/>
              <w:bottom w:val="dotted" w:sz="4" w:space="0" w:color="auto"/>
            </w:tcBorders>
            <w:vAlign w:val="center"/>
          </w:tcPr>
          <w:p w:rsidR="00307F3A" w:rsidRPr="00025B12" w:rsidRDefault="00307F3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2010</w:t>
            </w:r>
          </w:p>
        </w:tc>
      </w:tr>
      <w:tr w:rsidR="00307F3A" w:rsidRPr="00025B12" w:rsidTr="00D131AA">
        <w:trPr>
          <w:trHeight w:val="360"/>
        </w:trPr>
        <w:tc>
          <w:tcPr>
            <w:tcW w:w="1443" w:type="dxa"/>
            <w:tcBorders>
              <w:top w:val="dotted" w:sz="4" w:space="0" w:color="auto"/>
              <w:right w:val="dotted" w:sz="4" w:space="0" w:color="auto"/>
            </w:tcBorders>
          </w:tcPr>
          <w:p w:rsidR="00307F3A" w:rsidRPr="00025B12" w:rsidRDefault="00307F3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741" w:type="dxa"/>
            <w:tcBorders>
              <w:top w:val="dotted" w:sz="4" w:space="0" w:color="auto"/>
              <w:left w:val="dotted" w:sz="4" w:space="0" w:color="auto"/>
              <w:right w:val="dotted" w:sz="4" w:space="0" w:color="auto"/>
            </w:tcBorders>
            <w:vAlign w:val="center"/>
          </w:tcPr>
          <w:p w:rsidR="00307F3A" w:rsidRPr="00025B12" w:rsidRDefault="00665F1D" w:rsidP="00D131AA">
            <w:pPr>
              <w:spacing w:after="0" w:line="240" w:lineRule="auto"/>
              <w:jc w:val="center"/>
              <w:rPr>
                <w:rFonts w:ascii="Verdana" w:eastAsiaTheme="minorHAnsi" w:hAnsi="Verdana" w:cstheme="minorBidi"/>
                <w:sz w:val="18"/>
                <w:szCs w:val="18"/>
              </w:rPr>
            </w:pPr>
            <w:hyperlink w:anchor="Databáze_nabídky" w:history="1">
              <w:r w:rsidR="00307F3A" w:rsidRPr="00025B12">
                <w:rPr>
                  <w:rStyle w:val="Hypertextovodkaz"/>
                  <w:rFonts w:ascii="Verdana" w:eastAsiaTheme="minorHAnsi" w:hAnsi="Verdana" w:cstheme="minorBidi"/>
                  <w:sz w:val="18"/>
                  <w:szCs w:val="18"/>
                </w:rPr>
                <w:t>Databáze nabídky</w:t>
              </w:r>
            </w:hyperlink>
          </w:p>
        </w:tc>
        <w:tc>
          <w:tcPr>
            <w:tcW w:w="2280" w:type="dxa"/>
            <w:tcBorders>
              <w:top w:val="dotted" w:sz="4" w:space="0" w:color="auto"/>
              <w:left w:val="dotted" w:sz="4" w:space="0" w:color="auto"/>
              <w:right w:val="dotted" w:sz="4" w:space="0" w:color="auto"/>
            </w:tcBorders>
            <w:vAlign w:val="center"/>
          </w:tcPr>
          <w:p w:rsidR="00307F3A" w:rsidRPr="00025B12" w:rsidRDefault="00307F3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Provozovatelé databází</w:t>
            </w:r>
          </w:p>
        </w:tc>
        <w:tc>
          <w:tcPr>
            <w:tcW w:w="2101" w:type="dxa"/>
            <w:tcBorders>
              <w:top w:val="dotted" w:sz="4" w:space="0" w:color="auto"/>
              <w:left w:val="dotted" w:sz="4" w:space="0" w:color="auto"/>
              <w:right w:val="dotted" w:sz="4" w:space="0" w:color="auto"/>
            </w:tcBorders>
            <w:vAlign w:val="center"/>
          </w:tcPr>
          <w:p w:rsidR="00307F3A" w:rsidRPr="00025B12" w:rsidRDefault="00307F3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½ roku</w:t>
            </w:r>
          </w:p>
        </w:tc>
        <w:tc>
          <w:tcPr>
            <w:tcW w:w="1723" w:type="dxa"/>
            <w:tcBorders>
              <w:top w:val="dotted" w:sz="4" w:space="0" w:color="auto"/>
              <w:left w:val="dotted" w:sz="4" w:space="0" w:color="auto"/>
            </w:tcBorders>
            <w:vAlign w:val="center"/>
          </w:tcPr>
          <w:p w:rsidR="00307F3A" w:rsidRPr="00025B12" w:rsidRDefault="00307F3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2010</w:t>
            </w:r>
          </w:p>
        </w:tc>
      </w:tr>
      <w:tr w:rsidR="00307F3A" w:rsidRPr="00025B12" w:rsidTr="00D131AA">
        <w:trPr>
          <w:trHeight w:val="274"/>
        </w:trPr>
        <w:tc>
          <w:tcPr>
            <w:tcW w:w="7565" w:type="dxa"/>
            <w:gridSpan w:val="4"/>
            <w:shd w:val="clear" w:color="auto" w:fill="663399"/>
          </w:tcPr>
          <w:p w:rsidR="00307F3A" w:rsidRPr="00025B12" w:rsidRDefault="00307F3A" w:rsidP="00D131AA">
            <w:pPr>
              <w:spacing w:after="0" w:line="240" w:lineRule="auto"/>
              <w:jc w:val="center"/>
              <w:rPr>
                <w:rFonts w:ascii="Verdana" w:eastAsiaTheme="minorHAnsi" w:hAnsi="Verdana" w:cstheme="minorBidi"/>
                <w:sz w:val="18"/>
                <w:szCs w:val="18"/>
              </w:rPr>
            </w:pPr>
          </w:p>
        </w:tc>
        <w:tc>
          <w:tcPr>
            <w:tcW w:w="1723" w:type="dxa"/>
            <w:shd w:val="clear" w:color="auto" w:fill="663399"/>
          </w:tcPr>
          <w:p w:rsidR="00307F3A" w:rsidRPr="00025B12" w:rsidRDefault="00307F3A" w:rsidP="00D131AA">
            <w:pPr>
              <w:spacing w:after="0" w:line="240" w:lineRule="auto"/>
              <w:jc w:val="center"/>
              <w:rPr>
                <w:rFonts w:ascii="Verdana" w:eastAsiaTheme="minorHAnsi" w:hAnsi="Verdana" w:cstheme="minorBidi"/>
                <w:sz w:val="18"/>
                <w:szCs w:val="18"/>
              </w:rPr>
            </w:pPr>
          </w:p>
        </w:tc>
      </w:tr>
      <w:tr w:rsidR="00307F3A" w:rsidRPr="00025B12" w:rsidTr="00D131AA">
        <w:trPr>
          <w:trHeight w:val="1319"/>
        </w:trPr>
        <w:tc>
          <w:tcPr>
            <w:tcW w:w="9288" w:type="dxa"/>
            <w:gridSpan w:val="5"/>
          </w:tcPr>
          <w:p w:rsidR="00307F3A" w:rsidRPr="00025B12" w:rsidRDefault="00307F3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307F3A" w:rsidRPr="00025B12" w:rsidRDefault="00307F3A" w:rsidP="00D131AA">
            <w:pPr>
              <w:jc w:val="both"/>
              <w:rPr>
                <w:rFonts w:ascii="Verdana" w:hAnsi="Verdana"/>
                <w:sz w:val="18"/>
                <w:szCs w:val="18"/>
              </w:rPr>
            </w:pPr>
            <w:r w:rsidRPr="00025B12">
              <w:rPr>
                <w:rFonts w:ascii="Verdana" w:hAnsi="Verdana"/>
                <w:sz w:val="18"/>
                <w:szCs w:val="18"/>
              </w:rPr>
              <w:t>Cílem indikátoru je popsat rozsah institucionální kapacity poskytování dalšího vzdělávání a zmapovat situaci na trhu dalšího vzdělávání z hlediska poskytovatelů. Může sloužit jak pro decizní sféru, tak pro jednotlivé poskytovatele, kterým může poskytnout informaci o síle konkurenčního prostředí.</w:t>
            </w:r>
          </w:p>
        </w:tc>
      </w:tr>
      <w:tr w:rsidR="00307F3A" w:rsidRPr="00025B12" w:rsidTr="00D131AA">
        <w:trPr>
          <w:trHeight w:val="1485"/>
        </w:trPr>
        <w:tc>
          <w:tcPr>
            <w:tcW w:w="9288" w:type="dxa"/>
            <w:gridSpan w:val="5"/>
          </w:tcPr>
          <w:p w:rsidR="00307F3A" w:rsidRPr="00025B12" w:rsidRDefault="00307F3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307F3A" w:rsidRPr="00025B12" w:rsidRDefault="00307F3A" w:rsidP="00926742">
            <w:pPr>
              <w:jc w:val="both"/>
              <w:rPr>
                <w:rFonts w:ascii="Verdana" w:hAnsi="Verdana"/>
                <w:sz w:val="18"/>
                <w:szCs w:val="18"/>
              </w:rPr>
            </w:pPr>
            <w:r w:rsidRPr="00025B12">
              <w:rPr>
                <w:rFonts w:ascii="Verdana" w:hAnsi="Verdana"/>
                <w:sz w:val="18"/>
                <w:szCs w:val="18"/>
              </w:rPr>
              <w:t xml:space="preserve">Indikátor představuje počet vzdělávacích institucí, které ve sledovaném období (během půl roku po referenčním datu) nabízely alespoň jeden kurz. Indikátory vycházejí z databází nabídky dalšího vzdělávání. Více o metodice slučování databází a referenčním období viz indikátory </w:t>
            </w:r>
            <w:r w:rsidR="00926742" w:rsidRPr="00025B12">
              <w:rPr>
                <w:rFonts w:ascii="Verdana" w:hAnsi="Verdana"/>
                <w:sz w:val="18"/>
                <w:szCs w:val="18"/>
              </w:rPr>
              <w:t xml:space="preserve">v oblasti </w:t>
            </w:r>
            <w:r w:rsidRPr="00025B12">
              <w:rPr>
                <w:rFonts w:ascii="Verdana" w:hAnsi="Verdana"/>
                <w:sz w:val="18"/>
                <w:szCs w:val="18"/>
              </w:rPr>
              <w:t>III.2.</w:t>
            </w:r>
          </w:p>
        </w:tc>
      </w:tr>
      <w:tr w:rsidR="00307F3A" w:rsidRPr="00025B12" w:rsidTr="00D131AA">
        <w:trPr>
          <w:trHeight w:val="1053"/>
        </w:trPr>
        <w:tc>
          <w:tcPr>
            <w:tcW w:w="9288" w:type="dxa"/>
            <w:gridSpan w:val="5"/>
          </w:tcPr>
          <w:p w:rsidR="00307F3A" w:rsidRPr="00025B12" w:rsidRDefault="00307F3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307F3A" w:rsidRPr="00025B12" w:rsidRDefault="00307F3A" w:rsidP="00D131AA">
            <w:pPr>
              <w:jc w:val="both"/>
              <w:rPr>
                <w:rFonts w:ascii="Verdana" w:hAnsi="Verdana"/>
                <w:sz w:val="18"/>
                <w:szCs w:val="18"/>
              </w:rPr>
            </w:pPr>
            <w:r w:rsidRPr="00025B12">
              <w:rPr>
                <w:rFonts w:ascii="Verdana" w:hAnsi="Verdana"/>
                <w:sz w:val="18"/>
                <w:szCs w:val="18"/>
              </w:rPr>
              <w:t xml:space="preserve">Zdrojem dat pro výpočet indikátoru je sloučená databáze inzertních nabídek dalšího vzdělávání na internetových portálech EduCity a EU-dat, které byly poskytnuty jejich provozovateli, tj. společnostmi Trexima a Ivitera. Databáze </w:t>
            </w:r>
            <w:r w:rsidR="003557B7" w:rsidRPr="00025B12">
              <w:rPr>
                <w:rFonts w:ascii="Verdana" w:hAnsi="Verdana"/>
                <w:sz w:val="18"/>
                <w:szCs w:val="18"/>
              </w:rPr>
              <w:t>umožňují</w:t>
            </w:r>
            <w:r w:rsidRPr="00025B12">
              <w:rPr>
                <w:rFonts w:ascii="Verdana" w:hAnsi="Verdana"/>
                <w:sz w:val="18"/>
                <w:szCs w:val="18"/>
              </w:rPr>
              <w:t xml:space="preserve"> získat i regionální data. Dlouhodobá udržitelnost indikátoru je závislá na spolupráci s těmito soukromými subjekty, popř. dalšími subjekty, které v této oblasti vstoupí na trh.</w:t>
            </w:r>
          </w:p>
        </w:tc>
      </w:tr>
      <w:tr w:rsidR="00307F3A" w:rsidRPr="00025B12" w:rsidTr="00D131AA">
        <w:trPr>
          <w:trHeight w:val="837"/>
        </w:trPr>
        <w:tc>
          <w:tcPr>
            <w:tcW w:w="9288" w:type="dxa"/>
            <w:gridSpan w:val="5"/>
          </w:tcPr>
          <w:p w:rsidR="00307F3A" w:rsidRPr="00025B12" w:rsidRDefault="00307F3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307F3A" w:rsidRPr="00025B12" w:rsidRDefault="00307F3A" w:rsidP="00D131AA">
            <w:pPr>
              <w:jc w:val="both"/>
              <w:rPr>
                <w:rFonts w:ascii="Verdana" w:hAnsi="Verdana"/>
                <w:sz w:val="18"/>
                <w:szCs w:val="18"/>
              </w:rPr>
            </w:pPr>
            <w:r w:rsidRPr="00025B12">
              <w:rPr>
                <w:rFonts w:ascii="Verdana" w:hAnsi="Verdana"/>
                <w:sz w:val="18"/>
                <w:szCs w:val="18"/>
              </w:rPr>
              <w:t>Vzhledem k tomu, že data vycházejí z inzertní nabídky, tak pravděpodobně nepokrývají (zejména v případě škol) komplexně všechny subjekty nabízející další vzdělávání. Tvoří však prakticky jediný přehled o soukromých vzdělávacích společnostech. Databáze EU-dat by navíc v nejbližší době měla povinně zahrnovat i kurzy nabízené školami.</w:t>
            </w:r>
          </w:p>
          <w:p w:rsidR="00307F3A" w:rsidRPr="00025B12" w:rsidRDefault="00307F3A" w:rsidP="00D131AA">
            <w:pPr>
              <w:jc w:val="both"/>
              <w:rPr>
                <w:rFonts w:ascii="Verdana" w:hAnsi="Verdana"/>
                <w:sz w:val="18"/>
                <w:szCs w:val="18"/>
              </w:rPr>
            </w:pPr>
            <w:r w:rsidRPr="00025B12">
              <w:rPr>
                <w:rFonts w:ascii="Verdana" w:hAnsi="Verdana"/>
                <w:sz w:val="18"/>
                <w:szCs w:val="18"/>
              </w:rPr>
              <w:t>Databáze pravděpodobně nepokrývají některé malé regionální vzdělávací instituce, které svou nabídku inzerují jinými způsoby, regionální pohled proto může být mírně zkreslen.</w:t>
            </w:r>
          </w:p>
        </w:tc>
      </w:tr>
    </w:tbl>
    <w:p w:rsidR="004C030B" w:rsidRPr="00025B12" w:rsidRDefault="004C030B" w:rsidP="004C030B"/>
    <w:p w:rsidR="00307F3A" w:rsidRPr="00025B12" w:rsidRDefault="00307F3A" w:rsidP="004C030B">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4C030B" w:rsidRPr="00025B12" w:rsidTr="00785B82">
        <w:trPr>
          <w:trHeight w:val="425"/>
        </w:trPr>
        <w:tc>
          <w:tcPr>
            <w:tcW w:w="1417" w:type="dxa"/>
            <w:tcBorders>
              <w:bottom w:val="single" w:sz="4" w:space="0" w:color="auto"/>
              <w:right w:val="single" w:sz="4" w:space="0" w:color="auto"/>
            </w:tcBorders>
            <w:shd w:val="clear" w:color="auto" w:fill="663399"/>
            <w:vAlign w:val="center"/>
          </w:tcPr>
          <w:p w:rsidR="004C030B" w:rsidRPr="00025B12" w:rsidRDefault="004C030B" w:rsidP="00A9209D">
            <w:pPr>
              <w:pStyle w:val="Kd"/>
              <w:rPr>
                <w:sz w:val="18"/>
                <w:szCs w:val="18"/>
              </w:rPr>
            </w:pPr>
            <w:r w:rsidRPr="00025B12">
              <w:rPr>
                <w:sz w:val="18"/>
                <w:szCs w:val="18"/>
              </w:rPr>
              <w:br w:type="page"/>
            </w:r>
            <w:r w:rsidRPr="00025B12">
              <w:rPr>
                <w:sz w:val="18"/>
                <w:szCs w:val="18"/>
              </w:rPr>
              <w:br w:type="page"/>
            </w:r>
            <w:bookmarkStart w:id="88" w:name="II51"/>
            <w:r w:rsidRPr="00025B12">
              <w:rPr>
                <w:sz w:val="18"/>
                <w:szCs w:val="18"/>
              </w:rPr>
              <w:t>II.5.</w:t>
            </w:r>
            <w:r w:rsidR="008D36D8" w:rsidRPr="00025B12">
              <w:rPr>
                <w:sz w:val="18"/>
                <w:szCs w:val="18"/>
              </w:rPr>
              <w:t>d</w:t>
            </w:r>
            <w:r w:rsidRPr="00025B12">
              <w:rPr>
                <w:sz w:val="18"/>
                <w:szCs w:val="18"/>
              </w:rPr>
              <w:t>1</w:t>
            </w:r>
            <w:bookmarkEnd w:id="88"/>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4C030B" w:rsidRPr="00025B12" w:rsidRDefault="004C030B"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Struktura poskytovatelů podnikového vzdělávání</w:t>
            </w:r>
          </w:p>
        </w:tc>
      </w:tr>
      <w:tr w:rsidR="00A20048" w:rsidRPr="00025B12" w:rsidTr="00785B82">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A20048" w:rsidRPr="00025B12" w:rsidRDefault="00A20048" w:rsidP="00A2004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71" w:type="dxa"/>
            <w:gridSpan w:val="4"/>
            <w:vMerge/>
            <w:tcBorders>
              <w:left w:val="single" w:sz="4" w:space="0" w:color="auto"/>
              <w:bottom w:val="single" w:sz="4" w:space="0" w:color="auto"/>
              <w:right w:val="single"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p>
        </w:tc>
      </w:tr>
      <w:tr w:rsidR="004C030B" w:rsidRPr="00025B12" w:rsidTr="00296FE3">
        <w:trPr>
          <w:trHeight w:val="360"/>
        </w:trPr>
        <w:tc>
          <w:tcPr>
            <w:tcW w:w="1417" w:type="dxa"/>
            <w:tcBorders>
              <w:top w:val="single"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4C030B" w:rsidRPr="00025B12" w:rsidRDefault="004C030B"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C030B" w:rsidRPr="00025B12" w:rsidTr="00785B82">
        <w:trPr>
          <w:trHeight w:val="360"/>
        </w:trPr>
        <w:tc>
          <w:tcPr>
            <w:tcW w:w="1417" w:type="dxa"/>
            <w:tcBorders>
              <w:top w:val="dotted"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4C030B" w:rsidRPr="00025B12" w:rsidRDefault="00665F1D" w:rsidP="00A9209D">
            <w:pPr>
              <w:spacing w:after="0" w:line="240" w:lineRule="auto"/>
              <w:jc w:val="center"/>
              <w:rPr>
                <w:rFonts w:ascii="Verdana" w:eastAsiaTheme="minorHAnsi" w:hAnsi="Verdana" w:cstheme="minorBidi"/>
                <w:sz w:val="18"/>
                <w:szCs w:val="18"/>
              </w:rPr>
            </w:pPr>
            <w:hyperlink w:anchor="CVTS" w:history="1">
              <w:r w:rsidR="004C030B"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785B82" w:rsidRPr="00025B12" w:rsidTr="00785B82">
        <w:trPr>
          <w:trHeight w:val="360"/>
        </w:trPr>
        <w:tc>
          <w:tcPr>
            <w:tcW w:w="1417" w:type="dxa"/>
            <w:tcBorders>
              <w:top w:val="dotted" w:sz="4" w:space="0" w:color="auto"/>
              <w:bottom w:val="dotted" w:sz="4" w:space="0" w:color="auto"/>
              <w:right w:val="dotted" w:sz="4" w:space="0" w:color="auto"/>
            </w:tcBorders>
          </w:tcPr>
          <w:p w:rsidR="00785B82" w:rsidRPr="00025B12" w:rsidRDefault="00785B82"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785B82" w:rsidRPr="00025B12" w:rsidRDefault="00665F1D" w:rsidP="005F2F0A">
            <w:pPr>
              <w:spacing w:after="0" w:line="240" w:lineRule="auto"/>
              <w:jc w:val="center"/>
              <w:rPr>
                <w:rFonts w:ascii="Verdana" w:eastAsiaTheme="minorHAnsi" w:hAnsi="Verdana" w:cstheme="minorBidi"/>
                <w:sz w:val="18"/>
                <w:szCs w:val="18"/>
              </w:rPr>
            </w:pPr>
            <w:hyperlink w:anchor="CVTS" w:history="1">
              <w:r w:rsidR="00785B82"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4C030B" w:rsidRPr="00025B12" w:rsidTr="00785B82">
        <w:trPr>
          <w:trHeight w:val="360"/>
        </w:trPr>
        <w:tc>
          <w:tcPr>
            <w:tcW w:w="1417" w:type="dxa"/>
            <w:tcBorders>
              <w:top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20"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4"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C030B" w:rsidRPr="00025B12" w:rsidTr="00785B82">
        <w:trPr>
          <w:trHeight w:val="274"/>
        </w:trPr>
        <w:tc>
          <w:tcPr>
            <w:tcW w:w="7219" w:type="dxa"/>
            <w:gridSpan w:val="4"/>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2069" w:type="dxa"/>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785B82">
        <w:trPr>
          <w:trHeight w:val="1319"/>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C030B" w:rsidRPr="00025B12" w:rsidRDefault="004C030B" w:rsidP="00A9209D">
            <w:pPr>
              <w:jc w:val="both"/>
              <w:rPr>
                <w:rFonts w:ascii="Verdana" w:hAnsi="Verdana"/>
                <w:sz w:val="18"/>
                <w:szCs w:val="18"/>
              </w:rPr>
            </w:pPr>
            <w:r w:rsidRPr="00025B12">
              <w:rPr>
                <w:rFonts w:ascii="Verdana" w:hAnsi="Verdana"/>
                <w:sz w:val="18"/>
                <w:szCs w:val="18"/>
              </w:rPr>
              <w:t>Podnikové vzdělávání tvoří převážnou část celého dalšího neformálního vzdělávání. Určité procento vzdělávání si podniky realizují interně, další část nakupují od různých poskytovatelů. Složení poskytovatelů podnikového vzdělávání přináší důležitou informaci o tom, jak vypadá trh poskytovatelů dalšího vzdělávání.</w:t>
            </w:r>
          </w:p>
        </w:tc>
      </w:tr>
      <w:tr w:rsidR="004C030B" w:rsidRPr="00025B12" w:rsidTr="00785B82">
        <w:trPr>
          <w:trHeight w:val="1485"/>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C030B" w:rsidRPr="00025B12" w:rsidRDefault="004C030B" w:rsidP="00A9209D">
            <w:pPr>
              <w:jc w:val="both"/>
              <w:rPr>
                <w:rFonts w:ascii="Verdana" w:hAnsi="Verdana"/>
                <w:sz w:val="18"/>
                <w:szCs w:val="18"/>
              </w:rPr>
            </w:pPr>
            <w:r w:rsidRPr="00025B12">
              <w:rPr>
                <w:rFonts w:ascii="Verdana" w:hAnsi="Verdana"/>
                <w:sz w:val="18"/>
                <w:szCs w:val="18"/>
              </w:rPr>
              <w:t xml:space="preserve">Indikátor je vypočten jako podíl hodin poskytovaných jednotlivými typy poskytovatelů na celkových hodinách externích podnikových kurzů. Je připojena doprovodná informace o tom, jaký je podíl těchto externích kurzů na celkovém počtu hodin strávených zaměstnanci na kurzech (tedy jaké procento kurzů podniky subkontrahují). Členění typů poskytovatelů se </w:t>
            </w:r>
            <w:r w:rsidR="0092625C" w:rsidRPr="00025B12">
              <w:rPr>
                <w:rFonts w:ascii="Verdana" w:hAnsi="Verdana"/>
                <w:sz w:val="18"/>
                <w:szCs w:val="18"/>
              </w:rPr>
              <w:t>mezi koly</w:t>
            </w:r>
            <w:r w:rsidRPr="00025B12">
              <w:rPr>
                <w:rFonts w:ascii="Verdana" w:hAnsi="Verdana"/>
                <w:sz w:val="18"/>
                <w:szCs w:val="18"/>
              </w:rPr>
              <w:t xml:space="preserve"> CVTS</w:t>
            </w:r>
            <w:r w:rsidR="0092625C" w:rsidRPr="00025B12">
              <w:rPr>
                <w:rFonts w:ascii="Verdana" w:hAnsi="Verdana"/>
                <w:sz w:val="18"/>
                <w:szCs w:val="18"/>
              </w:rPr>
              <w:t>2 a CVTS3</w:t>
            </w:r>
            <w:r w:rsidRPr="00025B12">
              <w:rPr>
                <w:rFonts w:ascii="Verdana" w:hAnsi="Verdana"/>
                <w:sz w:val="18"/>
                <w:szCs w:val="18"/>
              </w:rPr>
              <w:t xml:space="preserve"> měnilo, přímá srovnatelnost </w:t>
            </w:r>
            <w:r w:rsidR="00062AE5" w:rsidRPr="00025B12">
              <w:rPr>
                <w:rFonts w:ascii="Verdana" w:hAnsi="Verdana"/>
                <w:sz w:val="18"/>
                <w:szCs w:val="18"/>
              </w:rPr>
              <w:t>šetření CVTS2 s pozdějšími</w:t>
            </w:r>
            <w:r w:rsidR="0092625C" w:rsidRPr="00025B12">
              <w:rPr>
                <w:rFonts w:ascii="Verdana" w:hAnsi="Verdana"/>
                <w:sz w:val="18"/>
                <w:szCs w:val="18"/>
              </w:rPr>
              <w:t xml:space="preserve"> proto není možná. Od roku 2005 (tj. od CVTS3) se používá</w:t>
            </w:r>
            <w:r w:rsidRPr="00025B12">
              <w:rPr>
                <w:rFonts w:ascii="Verdana" w:hAnsi="Verdana"/>
                <w:sz w:val="18"/>
                <w:szCs w:val="18"/>
              </w:rPr>
              <w:t xml:space="preserve"> </w:t>
            </w:r>
            <w:r w:rsidR="003557B7" w:rsidRPr="00025B12">
              <w:rPr>
                <w:rFonts w:ascii="Verdana" w:hAnsi="Verdana"/>
                <w:sz w:val="18"/>
                <w:szCs w:val="18"/>
              </w:rPr>
              <w:t>následující</w:t>
            </w:r>
            <w:r w:rsidRPr="00025B12">
              <w:rPr>
                <w:rFonts w:ascii="Verdana" w:hAnsi="Verdana"/>
                <w:sz w:val="18"/>
                <w:szCs w:val="18"/>
              </w:rPr>
              <w:t xml:space="preserve"> členění:</w:t>
            </w:r>
          </w:p>
          <w:p w:rsidR="004C030B" w:rsidRPr="00025B12" w:rsidRDefault="004C030B" w:rsidP="005E2CC2">
            <w:pPr>
              <w:numPr>
                <w:ilvl w:val="0"/>
                <w:numId w:val="12"/>
              </w:numPr>
              <w:spacing w:after="0"/>
              <w:ind w:left="714" w:hanging="357"/>
              <w:jc w:val="both"/>
              <w:rPr>
                <w:rFonts w:ascii="Verdana" w:hAnsi="Verdana"/>
                <w:sz w:val="18"/>
                <w:szCs w:val="18"/>
              </w:rPr>
            </w:pPr>
            <w:r w:rsidRPr="00025B12">
              <w:rPr>
                <w:rFonts w:ascii="Verdana" w:hAnsi="Verdana"/>
                <w:sz w:val="18"/>
                <w:szCs w:val="18"/>
              </w:rPr>
              <w:t>Veřejné školy</w:t>
            </w:r>
          </w:p>
          <w:p w:rsidR="004C030B" w:rsidRPr="00025B12" w:rsidRDefault="004C030B" w:rsidP="005E2CC2">
            <w:pPr>
              <w:numPr>
                <w:ilvl w:val="0"/>
                <w:numId w:val="12"/>
              </w:numPr>
              <w:spacing w:after="0"/>
              <w:ind w:left="714" w:hanging="357"/>
              <w:jc w:val="both"/>
              <w:rPr>
                <w:rFonts w:ascii="Verdana" w:hAnsi="Verdana"/>
                <w:sz w:val="18"/>
                <w:szCs w:val="18"/>
              </w:rPr>
            </w:pPr>
            <w:r w:rsidRPr="00025B12">
              <w:rPr>
                <w:rFonts w:ascii="Verdana" w:hAnsi="Verdana"/>
                <w:sz w:val="18"/>
                <w:szCs w:val="18"/>
              </w:rPr>
              <w:t>Veřejné vzdělávací instituce (financované nebo řízené vládou – např. centra vzdělávání dospělých)</w:t>
            </w:r>
          </w:p>
          <w:p w:rsidR="004C030B" w:rsidRPr="00025B12" w:rsidRDefault="004C030B" w:rsidP="005E2CC2">
            <w:pPr>
              <w:numPr>
                <w:ilvl w:val="0"/>
                <w:numId w:val="12"/>
              </w:numPr>
              <w:spacing w:after="0"/>
              <w:ind w:left="714" w:hanging="357"/>
              <w:jc w:val="both"/>
              <w:rPr>
                <w:rFonts w:ascii="Verdana" w:hAnsi="Verdana"/>
                <w:sz w:val="18"/>
                <w:szCs w:val="18"/>
              </w:rPr>
            </w:pPr>
            <w:r w:rsidRPr="00025B12">
              <w:rPr>
                <w:rFonts w:ascii="Verdana" w:hAnsi="Verdana"/>
                <w:sz w:val="18"/>
                <w:szCs w:val="18"/>
              </w:rPr>
              <w:t>Soukromé vzdělávací organizace</w:t>
            </w:r>
          </w:p>
          <w:p w:rsidR="004C030B" w:rsidRPr="00025B12" w:rsidRDefault="004C030B" w:rsidP="005E2CC2">
            <w:pPr>
              <w:numPr>
                <w:ilvl w:val="0"/>
                <w:numId w:val="12"/>
              </w:numPr>
              <w:spacing w:after="0"/>
              <w:ind w:left="714" w:hanging="357"/>
              <w:jc w:val="both"/>
              <w:rPr>
                <w:rFonts w:ascii="Verdana" w:hAnsi="Verdana"/>
                <w:sz w:val="18"/>
                <w:szCs w:val="18"/>
              </w:rPr>
            </w:pPr>
            <w:r w:rsidRPr="00025B12">
              <w:rPr>
                <w:rFonts w:ascii="Verdana" w:hAnsi="Verdana"/>
                <w:sz w:val="18"/>
                <w:szCs w:val="18"/>
              </w:rPr>
              <w:t>Soukromé společnosti, jejichž hlavní činností není vzdělávání</w:t>
            </w:r>
          </w:p>
          <w:p w:rsidR="004C030B" w:rsidRPr="00025B12" w:rsidRDefault="004C030B" w:rsidP="005E2CC2">
            <w:pPr>
              <w:numPr>
                <w:ilvl w:val="0"/>
                <w:numId w:val="12"/>
              </w:numPr>
              <w:spacing w:after="0"/>
              <w:ind w:left="714" w:hanging="357"/>
              <w:jc w:val="both"/>
              <w:rPr>
                <w:rFonts w:ascii="Verdana" w:hAnsi="Verdana"/>
                <w:sz w:val="18"/>
                <w:szCs w:val="18"/>
              </w:rPr>
            </w:pPr>
            <w:r w:rsidRPr="00025B12">
              <w:rPr>
                <w:rFonts w:ascii="Verdana" w:hAnsi="Verdana"/>
                <w:sz w:val="18"/>
                <w:szCs w:val="18"/>
              </w:rPr>
              <w:t>Odbory</w:t>
            </w:r>
          </w:p>
          <w:p w:rsidR="004C030B" w:rsidRPr="00025B12" w:rsidRDefault="004C030B" w:rsidP="005E2CC2">
            <w:pPr>
              <w:numPr>
                <w:ilvl w:val="0"/>
                <w:numId w:val="12"/>
              </w:numPr>
              <w:spacing w:after="0"/>
              <w:ind w:left="714" w:hanging="357"/>
              <w:jc w:val="both"/>
              <w:rPr>
                <w:rFonts w:ascii="Verdana" w:hAnsi="Verdana"/>
                <w:sz w:val="18"/>
                <w:szCs w:val="18"/>
              </w:rPr>
            </w:pPr>
            <w:r w:rsidRPr="00025B12">
              <w:rPr>
                <w:rFonts w:ascii="Verdana" w:hAnsi="Verdana"/>
                <w:sz w:val="18"/>
                <w:szCs w:val="18"/>
              </w:rPr>
              <w:t>Obchodní komory, svazy zaměstnavatelů</w:t>
            </w:r>
          </w:p>
          <w:p w:rsidR="004C030B" w:rsidRPr="00025B12" w:rsidRDefault="004C030B" w:rsidP="005E2CC2">
            <w:pPr>
              <w:numPr>
                <w:ilvl w:val="0"/>
                <w:numId w:val="12"/>
              </w:numPr>
              <w:jc w:val="both"/>
              <w:rPr>
                <w:rFonts w:ascii="Verdana" w:hAnsi="Verdana"/>
                <w:sz w:val="18"/>
                <w:szCs w:val="18"/>
              </w:rPr>
            </w:pPr>
            <w:r w:rsidRPr="00025B12">
              <w:rPr>
                <w:rFonts w:ascii="Verdana" w:hAnsi="Verdana"/>
                <w:sz w:val="18"/>
                <w:szCs w:val="18"/>
              </w:rPr>
              <w:t>Další poskytovatelé</w:t>
            </w:r>
          </w:p>
        </w:tc>
      </w:tr>
      <w:tr w:rsidR="004C030B" w:rsidRPr="00025B12" w:rsidTr="00785B82">
        <w:trPr>
          <w:trHeight w:val="1053"/>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C030B" w:rsidRPr="00025B12" w:rsidRDefault="004C030B" w:rsidP="00A9209D">
            <w:pPr>
              <w:jc w:val="both"/>
              <w:rPr>
                <w:rFonts w:ascii="Verdana" w:hAnsi="Verdana"/>
                <w:sz w:val="18"/>
                <w:szCs w:val="18"/>
              </w:rPr>
            </w:pPr>
            <w:r w:rsidRPr="00025B12">
              <w:rPr>
                <w:rFonts w:ascii="Verdana" w:hAnsi="Verdana"/>
                <w:sz w:val="18"/>
                <w:szCs w:val="18"/>
              </w:rPr>
              <w:t>V mezinárodním srovnání je indikátor přebírán z webových stránek Eurostatu, krajské srovnání není k dispozici.</w:t>
            </w:r>
          </w:p>
        </w:tc>
      </w:tr>
      <w:tr w:rsidR="004C030B" w:rsidRPr="00025B12" w:rsidTr="00785B82">
        <w:trPr>
          <w:trHeight w:val="837"/>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C030B" w:rsidRPr="00025B12" w:rsidRDefault="004C030B" w:rsidP="00A9209D">
            <w:pPr>
              <w:jc w:val="both"/>
              <w:rPr>
                <w:rFonts w:ascii="Verdana" w:hAnsi="Verdana"/>
                <w:sz w:val="18"/>
                <w:szCs w:val="18"/>
              </w:rPr>
            </w:pPr>
            <w:r w:rsidRPr="00025B12">
              <w:rPr>
                <w:rFonts w:ascii="Verdana" w:hAnsi="Verdana"/>
                <w:sz w:val="18"/>
                <w:szCs w:val="18"/>
              </w:rPr>
              <w:t>Členění typů poskytovatelů se v jednotlivých ročnících CVTS měnilo, přímá srovnatelnost v čase proto není možná.</w:t>
            </w:r>
          </w:p>
        </w:tc>
      </w:tr>
    </w:tbl>
    <w:p w:rsidR="004C030B" w:rsidRPr="00025B12" w:rsidRDefault="004C030B" w:rsidP="004C030B"/>
    <w:p w:rsidR="004C030B" w:rsidRPr="00025B12" w:rsidRDefault="004C030B" w:rsidP="004C030B">
      <w:r w:rsidRPr="00025B12">
        <w:br w:type="page"/>
      </w:r>
    </w:p>
    <w:p w:rsidR="004C030B" w:rsidRPr="00025B12" w:rsidRDefault="004C030B" w:rsidP="004C030B">
      <w:pPr>
        <w:jc w:val="both"/>
        <w:rPr>
          <w:rFonts w:ascii="Verdana" w:hAnsi="Verdana"/>
          <w:b/>
          <w:sz w:val="24"/>
          <w:szCs w:val="24"/>
        </w:rPr>
      </w:pPr>
    </w:p>
    <w:p w:rsidR="002C1A9F" w:rsidRPr="00025B12" w:rsidRDefault="004C030B" w:rsidP="000C6631">
      <w:pPr>
        <w:jc w:val="both"/>
        <w:outlineLvl w:val="0"/>
        <w:rPr>
          <w:rFonts w:ascii="Verdana" w:hAnsi="Verdana"/>
          <w:b/>
          <w:sz w:val="24"/>
          <w:szCs w:val="24"/>
        </w:rPr>
      </w:pPr>
      <w:r w:rsidRPr="00025B12">
        <w:rPr>
          <w:rFonts w:ascii="Verdana" w:hAnsi="Verdana"/>
          <w:b/>
          <w:sz w:val="24"/>
          <w:szCs w:val="24"/>
        </w:rPr>
        <w:t>II.6</w:t>
      </w:r>
      <w:r w:rsidR="002C1A9F" w:rsidRPr="00025B12">
        <w:rPr>
          <w:rFonts w:ascii="Verdana" w:hAnsi="Verdana"/>
          <w:b/>
          <w:sz w:val="24"/>
          <w:szCs w:val="24"/>
        </w:rPr>
        <w:t xml:space="preserve"> Kapacity pro uznávání výsledků dalšího vzdělávání</w:t>
      </w:r>
    </w:p>
    <w:p w:rsidR="0088462A" w:rsidRPr="00025B12" w:rsidRDefault="0088462A" w:rsidP="000C6631">
      <w:pPr>
        <w:jc w:val="both"/>
        <w:outlineLvl w:val="0"/>
        <w:rPr>
          <w:rFonts w:ascii="Verdana" w:hAnsi="Verdan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1642"/>
        <w:gridCol w:w="2291"/>
        <w:gridCol w:w="2113"/>
        <w:gridCol w:w="1794"/>
      </w:tblGrid>
      <w:tr w:rsidR="0088462A" w:rsidRPr="00025B12" w:rsidTr="00D131AA">
        <w:trPr>
          <w:trHeight w:val="425"/>
        </w:trPr>
        <w:tc>
          <w:tcPr>
            <w:tcW w:w="1448" w:type="dxa"/>
            <w:tcBorders>
              <w:bottom w:val="single" w:sz="4" w:space="0" w:color="auto"/>
              <w:right w:val="single" w:sz="4" w:space="0" w:color="auto"/>
            </w:tcBorders>
            <w:shd w:val="clear" w:color="auto" w:fill="663399"/>
            <w:vAlign w:val="center"/>
          </w:tcPr>
          <w:p w:rsidR="0088462A" w:rsidRPr="00025B12" w:rsidRDefault="0088462A" w:rsidP="00D131AA">
            <w:pPr>
              <w:pStyle w:val="Kd"/>
              <w:rPr>
                <w:sz w:val="18"/>
                <w:szCs w:val="18"/>
              </w:rPr>
            </w:pPr>
            <w:r w:rsidRPr="00025B12">
              <w:rPr>
                <w:sz w:val="18"/>
                <w:szCs w:val="18"/>
              </w:rPr>
              <w:br w:type="page"/>
            </w:r>
            <w:r w:rsidRPr="00025B12">
              <w:rPr>
                <w:sz w:val="18"/>
                <w:szCs w:val="18"/>
              </w:rPr>
              <w:br w:type="page"/>
            </w:r>
            <w:bookmarkStart w:id="89" w:name="II62"/>
            <w:r w:rsidRPr="00025B12">
              <w:rPr>
                <w:sz w:val="18"/>
                <w:szCs w:val="18"/>
              </w:rPr>
              <w:t>II.6.</w:t>
            </w:r>
            <w:bookmarkEnd w:id="89"/>
            <w:r w:rsidRPr="00025B12">
              <w:rPr>
                <w:sz w:val="18"/>
                <w:szCs w:val="18"/>
              </w:rPr>
              <w:t>1</w:t>
            </w:r>
          </w:p>
        </w:tc>
        <w:tc>
          <w:tcPr>
            <w:tcW w:w="7840" w:type="dxa"/>
            <w:gridSpan w:val="4"/>
            <w:vMerge w:val="restart"/>
            <w:tcBorders>
              <w:top w:val="single" w:sz="4" w:space="0" w:color="auto"/>
              <w:left w:val="single" w:sz="4" w:space="0" w:color="auto"/>
              <w:right w:val="single" w:sz="4" w:space="0" w:color="auto"/>
            </w:tcBorders>
            <w:shd w:val="clear" w:color="auto" w:fill="663399"/>
            <w:vAlign w:val="center"/>
          </w:tcPr>
          <w:p w:rsidR="0088462A" w:rsidRPr="00025B12" w:rsidRDefault="0088462A"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Počet autorizací pro uznávání výsledků dalšího vzdělávání podle oborů</w:t>
            </w:r>
          </w:p>
        </w:tc>
      </w:tr>
      <w:tr w:rsidR="0088462A" w:rsidRPr="00025B12" w:rsidTr="00D131AA">
        <w:trPr>
          <w:trHeight w:val="360"/>
        </w:trPr>
        <w:tc>
          <w:tcPr>
            <w:tcW w:w="1448" w:type="dxa"/>
            <w:tcBorders>
              <w:top w:val="single" w:sz="4" w:space="0" w:color="auto"/>
              <w:bottom w:val="single" w:sz="4" w:space="0" w:color="auto"/>
              <w:right w:val="single" w:sz="4" w:space="0" w:color="auto"/>
            </w:tcBorders>
            <w:shd w:val="clear" w:color="auto" w:fill="663399"/>
            <w:vAlign w:val="center"/>
          </w:tcPr>
          <w:p w:rsidR="0088462A" w:rsidRPr="00025B12" w:rsidRDefault="0088462A"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40" w:type="dxa"/>
            <w:gridSpan w:val="4"/>
            <w:vMerge/>
            <w:tcBorders>
              <w:left w:val="single" w:sz="4" w:space="0" w:color="auto"/>
              <w:bottom w:val="single" w:sz="4" w:space="0" w:color="auto"/>
              <w:right w:val="single" w:sz="4" w:space="0" w:color="auto"/>
            </w:tcBorders>
            <w:vAlign w:val="center"/>
          </w:tcPr>
          <w:p w:rsidR="0088462A" w:rsidRPr="00025B12" w:rsidRDefault="0088462A" w:rsidP="00D131AA">
            <w:pPr>
              <w:spacing w:after="0" w:line="240" w:lineRule="auto"/>
              <w:jc w:val="center"/>
              <w:rPr>
                <w:rFonts w:ascii="Verdana" w:eastAsiaTheme="minorHAnsi" w:hAnsi="Verdana" w:cstheme="minorBidi"/>
                <w:sz w:val="18"/>
                <w:szCs w:val="18"/>
              </w:rPr>
            </w:pPr>
          </w:p>
        </w:tc>
      </w:tr>
      <w:tr w:rsidR="0088462A" w:rsidRPr="00025B12" w:rsidTr="00296FE3">
        <w:trPr>
          <w:trHeight w:val="360"/>
        </w:trPr>
        <w:tc>
          <w:tcPr>
            <w:tcW w:w="1448" w:type="dxa"/>
            <w:tcBorders>
              <w:top w:val="single" w:sz="4" w:space="0" w:color="auto"/>
              <w:bottom w:val="dotted" w:sz="4" w:space="0" w:color="auto"/>
              <w:right w:val="dotted" w:sz="4" w:space="0" w:color="auto"/>
            </w:tcBorders>
          </w:tcPr>
          <w:p w:rsidR="0088462A" w:rsidRPr="00025B12" w:rsidRDefault="0088462A" w:rsidP="00D131AA">
            <w:pPr>
              <w:spacing w:after="0" w:line="240" w:lineRule="auto"/>
              <w:jc w:val="center"/>
              <w:rPr>
                <w:rFonts w:ascii="Verdana" w:eastAsiaTheme="minorHAnsi" w:hAnsi="Verdana" w:cstheme="minorBidi"/>
                <w:sz w:val="18"/>
                <w:szCs w:val="18"/>
              </w:rPr>
            </w:pPr>
          </w:p>
        </w:tc>
        <w:tc>
          <w:tcPr>
            <w:tcW w:w="1642" w:type="dxa"/>
            <w:tcBorders>
              <w:top w:val="single" w:sz="4" w:space="0" w:color="auto"/>
              <w:left w:val="dotted" w:sz="4" w:space="0" w:color="auto"/>
              <w:bottom w:val="dotted" w:sz="4" w:space="0" w:color="auto"/>
              <w:right w:val="dotted" w:sz="4" w:space="0" w:color="auto"/>
            </w:tcBorders>
            <w:vAlign w:val="center"/>
          </w:tcPr>
          <w:p w:rsidR="0088462A" w:rsidRPr="00025B12" w:rsidRDefault="0088462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91" w:type="dxa"/>
            <w:tcBorders>
              <w:top w:val="single" w:sz="4" w:space="0" w:color="auto"/>
              <w:left w:val="dotted" w:sz="4" w:space="0" w:color="auto"/>
              <w:bottom w:val="dotted" w:sz="4" w:space="0" w:color="auto"/>
              <w:right w:val="dotted" w:sz="4" w:space="0" w:color="auto"/>
            </w:tcBorders>
            <w:vAlign w:val="center"/>
          </w:tcPr>
          <w:p w:rsidR="0088462A" w:rsidRPr="00025B12" w:rsidRDefault="0088462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3" w:type="dxa"/>
            <w:tcBorders>
              <w:top w:val="single" w:sz="4" w:space="0" w:color="auto"/>
              <w:left w:val="dotted" w:sz="4" w:space="0" w:color="auto"/>
              <w:bottom w:val="dotted" w:sz="4" w:space="0" w:color="auto"/>
              <w:right w:val="dotted" w:sz="4" w:space="0" w:color="auto"/>
            </w:tcBorders>
            <w:vAlign w:val="center"/>
          </w:tcPr>
          <w:p w:rsidR="0088462A" w:rsidRPr="00025B12" w:rsidRDefault="0088462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94" w:type="dxa"/>
            <w:tcBorders>
              <w:top w:val="single" w:sz="4" w:space="0" w:color="auto"/>
              <w:left w:val="dotted" w:sz="4" w:space="0" w:color="auto"/>
              <w:bottom w:val="dotted" w:sz="4" w:space="0" w:color="auto"/>
            </w:tcBorders>
            <w:vAlign w:val="center"/>
          </w:tcPr>
          <w:p w:rsidR="0088462A" w:rsidRPr="00025B12" w:rsidRDefault="0088462A"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88462A" w:rsidRPr="00025B12" w:rsidTr="00D131AA">
        <w:trPr>
          <w:trHeight w:val="360"/>
        </w:trPr>
        <w:tc>
          <w:tcPr>
            <w:tcW w:w="1448" w:type="dxa"/>
            <w:tcBorders>
              <w:top w:val="dotted" w:sz="4" w:space="0" w:color="auto"/>
              <w:bottom w:val="dotted" w:sz="4" w:space="0" w:color="auto"/>
              <w:right w:val="dotted" w:sz="4" w:space="0" w:color="auto"/>
            </w:tcBorders>
          </w:tcPr>
          <w:p w:rsidR="0088462A" w:rsidRPr="00025B12" w:rsidRDefault="0088462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42" w:type="dxa"/>
            <w:tcBorders>
              <w:top w:val="dotted" w:sz="4" w:space="0" w:color="auto"/>
              <w:left w:val="dotted" w:sz="4" w:space="0" w:color="auto"/>
              <w:bottom w:val="dotted" w:sz="4" w:space="0" w:color="auto"/>
              <w:right w:val="dotted" w:sz="4" w:space="0" w:color="auto"/>
            </w:tcBorders>
            <w:vAlign w:val="center"/>
          </w:tcPr>
          <w:p w:rsidR="0088462A" w:rsidRPr="00025B12" w:rsidRDefault="0088462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91" w:type="dxa"/>
            <w:tcBorders>
              <w:top w:val="dotted" w:sz="4" w:space="0" w:color="auto"/>
              <w:left w:val="dotted" w:sz="4" w:space="0" w:color="auto"/>
              <w:bottom w:val="dotted" w:sz="4" w:space="0" w:color="auto"/>
              <w:right w:val="dotted" w:sz="4" w:space="0" w:color="auto"/>
            </w:tcBorders>
            <w:vAlign w:val="center"/>
          </w:tcPr>
          <w:p w:rsidR="0088462A" w:rsidRPr="00025B12" w:rsidRDefault="0088462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bottom w:val="dotted" w:sz="4" w:space="0" w:color="auto"/>
              <w:right w:val="dotted" w:sz="4" w:space="0" w:color="auto"/>
            </w:tcBorders>
            <w:vAlign w:val="center"/>
          </w:tcPr>
          <w:p w:rsidR="0088462A" w:rsidRPr="00025B12" w:rsidRDefault="0088462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94" w:type="dxa"/>
            <w:tcBorders>
              <w:top w:val="dotted" w:sz="4" w:space="0" w:color="auto"/>
              <w:left w:val="dotted" w:sz="4" w:space="0" w:color="auto"/>
              <w:bottom w:val="dotted" w:sz="4" w:space="0" w:color="auto"/>
            </w:tcBorders>
            <w:vAlign w:val="center"/>
          </w:tcPr>
          <w:p w:rsidR="0088462A" w:rsidRPr="00025B12" w:rsidRDefault="0088462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88462A" w:rsidRPr="00025B12" w:rsidTr="00D131AA">
        <w:trPr>
          <w:trHeight w:val="360"/>
        </w:trPr>
        <w:tc>
          <w:tcPr>
            <w:tcW w:w="1448" w:type="dxa"/>
            <w:tcBorders>
              <w:top w:val="dotted" w:sz="4" w:space="0" w:color="auto"/>
              <w:bottom w:val="dotted" w:sz="4" w:space="0" w:color="auto"/>
              <w:right w:val="dotted" w:sz="4" w:space="0" w:color="auto"/>
            </w:tcBorders>
          </w:tcPr>
          <w:p w:rsidR="0088462A" w:rsidRPr="00025B12" w:rsidRDefault="0088462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42" w:type="dxa"/>
            <w:tcBorders>
              <w:top w:val="dotted" w:sz="4" w:space="0" w:color="auto"/>
              <w:left w:val="dotted" w:sz="4" w:space="0" w:color="auto"/>
              <w:bottom w:val="dotted" w:sz="4" w:space="0" w:color="auto"/>
              <w:right w:val="dotted" w:sz="4" w:space="0" w:color="auto"/>
            </w:tcBorders>
            <w:vAlign w:val="center"/>
          </w:tcPr>
          <w:p w:rsidR="0088462A" w:rsidRPr="00025B12" w:rsidRDefault="00665F1D" w:rsidP="00D131AA">
            <w:pPr>
              <w:spacing w:after="0" w:line="240" w:lineRule="auto"/>
              <w:jc w:val="center"/>
              <w:rPr>
                <w:rFonts w:ascii="Verdana" w:eastAsiaTheme="minorHAnsi" w:hAnsi="Verdana" w:cstheme="minorBidi"/>
                <w:sz w:val="18"/>
                <w:szCs w:val="18"/>
              </w:rPr>
            </w:pPr>
            <w:hyperlink w:anchor="ISKA" w:history="1">
              <w:r w:rsidR="0088462A" w:rsidRPr="00025B12">
                <w:rPr>
                  <w:rStyle w:val="Hypertextovodkaz"/>
                  <w:rFonts w:ascii="Verdana" w:hAnsi="Verdana"/>
                  <w:sz w:val="18"/>
                  <w:szCs w:val="18"/>
                </w:rPr>
                <w:t>ISKA</w:t>
              </w:r>
            </w:hyperlink>
          </w:p>
        </w:tc>
        <w:tc>
          <w:tcPr>
            <w:tcW w:w="2291" w:type="dxa"/>
            <w:tcBorders>
              <w:top w:val="dotted" w:sz="4" w:space="0" w:color="auto"/>
              <w:left w:val="dotted" w:sz="4" w:space="0" w:color="auto"/>
              <w:bottom w:val="dotted" w:sz="4" w:space="0" w:color="auto"/>
              <w:right w:val="dotted" w:sz="4" w:space="0" w:color="auto"/>
            </w:tcBorders>
            <w:vAlign w:val="center"/>
          </w:tcPr>
          <w:p w:rsidR="0088462A" w:rsidRPr="00025B12" w:rsidRDefault="0088462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bottom w:val="dotted" w:sz="4" w:space="0" w:color="auto"/>
              <w:right w:val="dotted" w:sz="4" w:space="0" w:color="auto"/>
            </w:tcBorders>
            <w:vAlign w:val="center"/>
          </w:tcPr>
          <w:p w:rsidR="0088462A" w:rsidRPr="00025B12" w:rsidRDefault="0088462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94" w:type="dxa"/>
            <w:tcBorders>
              <w:top w:val="dotted" w:sz="4" w:space="0" w:color="auto"/>
              <w:left w:val="dotted" w:sz="4" w:space="0" w:color="auto"/>
              <w:bottom w:val="dotted" w:sz="4" w:space="0" w:color="auto"/>
            </w:tcBorders>
            <w:vAlign w:val="center"/>
          </w:tcPr>
          <w:p w:rsidR="0088462A" w:rsidRPr="00025B12" w:rsidRDefault="0088462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88462A" w:rsidRPr="00025B12" w:rsidTr="00D131AA">
        <w:trPr>
          <w:trHeight w:val="360"/>
        </w:trPr>
        <w:tc>
          <w:tcPr>
            <w:tcW w:w="1448" w:type="dxa"/>
            <w:tcBorders>
              <w:top w:val="dotted" w:sz="4" w:space="0" w:color="auto"/>
              <w:right w:val="dotted" w:sz="4" w:space="0" w:color="auto"/>
            </w:tcBorders>
          </w:tcPr>
          <w:p w:rsidR="0088462A" w:rsidRPr="00025B12" w:rsidRDefault="0088462A"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42" w:type="dxa"/>
            <w:tcBorders>
              <w:top w:val="dotted" w:sz="4" w:space="0" w:color="auto"/>
              <w:left w:val="dotted" w:sz="4" w:space="0" w:color="auto"/>
              <w:right w:val="dotted" w:sz="4" w:space="0" w:color="auto"/>
            </w:tcBorders>
            <w:vAlign w:val="center"/>
          </w:tcPr>
          <w:p w:rsidR="0088462A" w:rsidRPr="00025B12" w:rsidRDefault="00665F1D" w:rsidP="00D131AA">
            <w:pPr>
              <w:spacing w:after="0" w:line="240" w:lineRule="auto"/>
              <w:jc w:val="center"/>
              <w:rPr>
                <w:rFonts w:ascii="Verdana" w:eastAsiaTheme="minorHAnsi" w:hAnsi="Verdana" w:cstheme="minorBidi"/>
                <w:sz w:val="18"/>
                <w:szCs w:val="18"/>
              </w:rPr>
            </w:pPr>
            <w:hyperlink w:anchor="ISKA" w:history="1">
              <w:r w:rsidR="0088462A" w:rsidRPr="00025B12">
                <w:rPr>
                  <w:rStyle w:val="Hypertextovodkaz"/>
                  <w:rFonts w:ascii="Verdana" w:hAnsi="Verdana"/>
                  <w:sz w:val="18"/>
                  <w:szCs w:val="18"/>
                </w:rPr>
                <w:t>ISKA</w:t>
              </w:r>
            </w:hyperlink>
          </w:p>
        </w:tc>
        <w:tc>
          <w:tcPr>
            <w:tcW w:w="2291" w:type="dxa"/>
            <w:tcBorders>
              <w:top w:val="dotted" w:sz="4" w:space="0" w:color="auto"/>
              <w:left w:val="dotted" w:sz="4" w:space="0" w:color="auto"/>
              <w:right w:val="dotted" w:sz="4" w:space="0" w:color="auto"/>
            </w:tcBorders>
            <w:vAlign w:val="center"/>
          </w:tcPr>
          <w:p w:rsidR="0088462A" w:rsidRPr="00025B12" w:rsidRDefault="0088462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right w:val="dotted" w:sz="4" w:space="0" w:color="auto"/>
            </w:tcBorders>
            <w:vAlign w:val="center"/>
          </w:tcPr>
          <w:p w:rsidR="0088462A" w:rsidRPr="00025B12" w:rsidRDefault="0088462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94" w:type="dxa"/>
            <w:tcBorders>
              <w:top w:val="dotted" w:sz="4" w:space="0" w:color="auto"/>
              <w:left w:val="dotted" w:sz="4" w:space="0" w:color="auto"/>
            </w:tcBorders>
            <w:vAlign w:val="center"/>
          </w:tcPr>
          <w:p w:rsidR="0088462A" w:rsidRPr="00025B12" w:rsidRDefault="0088462A"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88462A" w:rsidRPr="00025B12" w:rsidTr="00D131AA">
        <w:trPr>
          <w:trHeight w:val="274"/>
        </w:trPr>
        <w:tc>
          <w:tcPr>
            <w:tcW w:w="7494" w:type="dxa"/>
            <w:gridSpan w:val="4"/>
            <w:shd w:val="clear" w:color="auto" w:fill="663399"/>
          </w:tcPr>
          <w:p w:rsidR="0088462A" w:rsidRPr="00025B12" w:rsidRDefault="0088462A" w:rsidP="00D131AA">
            <w:pPr>
              <w:spacing w:after="0" w:line="240" w:lineRule="auto"/>
              <w:jc w:val="center"/>
              <w:rPr>
                <w:rFonts w:ascii="Verdana" w:eastAsiaTheme="minorHAnsi" w:hAnsi="Verdana" w:cstheme="minorBidi"/>
                <w:sz w:val="18"/>
                <w:szCs w:val="18"/>
              </w:rPr>
            </w:pPr>
          </w:p>
        </w:tc>
        <w:tc>
          <w:tcPr>
            <w:tcW w:w="1794" w:type="dxa"/>
            <w:shd w:val="clear" w:color="auto" w:fill="663399"/>
          </w:tcPr>
          <w:p w:rsidR="0088462A" w:rsidRPr="00025B12" w:rsidRDefault="0088462A" w:rsidP="00D131AA">
            <w:pPr>
              <w:spacing w:after="0" w:line="240" w:lineRule="auto"/>
              <w:jc w:val="center"/>
              <w:rPr>
                <w:rFonts w:ascii="Verdana" w:eastAsiaTheme="minorHAnsi" w:hAnsi="Verdana" w:cstheme="minorBidi"/>
                <w:sz w:val="18"/>
                <w:szCs w:val="18"/>
              </w:rPr>
            </w:pPr>
          </w:p>
        </w:tc>
      </w:tr>
      <w:tr w:rsidR="0088462A" w:rsidRPr="00025B12" w:rsidTr="00D131AA">
        <w:trPr>
          <w:trHeight w:val="1319"/>
        </w:trPr>
        <w:tc>
          <w:tcPr>
            <w:tcW w:w="9288" w:type="dxa"/>
            <w:gridSpan w:val="5"/>
          </w:tcPr>
          <w:p w:rsidR="0088462A" w:rsidRPr="00025B12" w:rsidRDefault="0088462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88462A" w:rsidRPr="00025B12" w:rsidRDefault="0088462A" w:rsidP="001D7D92">
            <w:pPr>
              <w:jc w:val="both"/>
              <w:rPr>
                <w:rFonts w:ascii="Verdana" w:hAnsi="Verdana"/>
                <w:sz w:val="18"/>
                <w:szCs w:val="18"/>
              </w:rPr>
            </w:pPr>
            <w:r w:rsidRPr="00025B12">
              <w:rPr>
                <w:rFonts w:ascii="Verdana" w:hAnsi="Verdana"/>
                <w:sz w:val="18"/>
                <w:szCs w:val="18"/>
              </w:rPr>
              <w:t>Indikátor by měl informovat o kapacitách pro uznávání výsledků dalšího vzdělávání. Umožňuje detailn</w:t>
            </w:r>
            <w:r w:rsidR="001D7D92" w:rsidRPr="00025B12">
              <w:rPr>
                <w:rFonts w:ascii="Verdana" w:hAnsi="Verdana"/>
                <w:sz w:val="18"/>
                <w:szCs w:val="18"/>
              </w:rPr>
              <w:t>í</w:t>
            </w:r>
            <w:r w:rsidRPr="00025B12">
              <w:rPr>
                <w:rFonts w:ascii="Verdana" w:hAnsi="Verdana"/>
                <w:sz w:val="18"/>
                <w:szCs w:val="18"/>
              </w:rPr>
              <w:t xml:space="preserve"> pohled na instituce umožňující skládání dílčích a úplných kvalifikací v rámci systému uznávání výsledků dalšího vzdělávání, a to v členění po jednotlivých kvalifikacích (skupinách kvalifikací). Může sloužit pro decizní sféru, aby se informova</w:t>
            </w:r>
            <w:r w:rsidR="001D7D92" w:rsidRPr="00025B12">
              <w:rPr>
                <w:rFonts w:ascii="Verdana" w:hAnsi="Verdana"/>
                <w:sz w:val="18"/>
                <w:szCs w:val="18"/>
              </w:rPr>
              <w:t>la o kapacitách v daném regionu.</w:t>
            </w:r>
            <w:r w:rsidRPr="00025B12">
              <w:rPr>
                <w:rFonts w:ascii="Verdana" w:hAnsi="Verdana"/>
                <w:sz w:val="18"/>
                <w:szCs w:val="18"/>
              </w:rPr>
              <w:t xml:space="preserve"> </w:t>
            </w:r>
            <w:r w:rsidR="001D7D92" w:rsidRPr="00025B12">
              <w:rPr>
                <w:rFonts w:ascii="Verdana" w:hAnsi="Verdana"/>
                <w:sz w:val="18"/>
                <w:szCs w:val="18"/>
              </w:rPr>
              <w:t>Jednotlivé instituce mohou zjistit in</w:t>
            </w:r>
            <w:r w:rsidRPr="00025B12">
              <w:rPr>
                <w:rFonts w:ascii="Verdana" w:hAnsi="Verdana"/>
                <w:sz w:val="18"/>
                <w:szCs w:val="18"/>
              </w:rPr>
              <w:t xml:space="preserve">formace o konkurenci a případných </w:t>
            </w:r>
            <w:r w:rsidR="001D7D92" w:rsidRPr="00025B12">
              <w:rPr>
                <w:rFonts w:ascii="Verdana" w:hAnsi="Verdana"/>
                <w:sz w:val="18"/>
                <w:szCs w:val="18"/>
              </w:rPr>
              <w:t>nepokrytých oblastech systému uznávání dalšího vzdělávání a tomu přizpůsobit nabídku svých služeb.</w:t>
            </w:r>
          </w:p>
        </w:tc>
      </w:tr>
      <w:tr w:rsidR="0088462A" w:rsidRPr="00025B12" w:rsidTr="00D131AA">
        <w:trPr>
          <w:trHeight w:val="992"/>
        </w:trPr>
        <w:tc>
          <w:tcPr>
            <w:tcW w:w="9288" w:type="dxa"/>
            <w:gridSpan w:val="5"/>
          </w:tcPr>
          <w:p w:rsidR="0088462A" w:rsidRPr="00025B12" w:rsidRDefault="0088462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88462A" w:rsidRPr="00025B12" w:rsidRDefault="0088462A" w:rsidP="00D131AA">
            <w:pPr>
              <w:jc w:val="both"/>
              <w:rPr>
                <w:rFonts w:ascii="Verdana" w:hAnsi="Verdana"/>
                <w:sz w:val="18"/>
                <w:szCs w:val="18"/>
              </w:rPr>
            </w:pPr>
            <w:r w:rsidRPr="00025B12">
              <w:rPr>
                <w:rFonts w:ascii="Verdana" w:hAnsi="Verdana"/>
                <w:sz w:val="18"/>
                <w:szCs w:val="18"/>
              </w:rPr>
              <w:t>Indikátor uvádí počet udělených autorizací podle jednotlivých kvalifikací.</w:t>
            </w:r>
            <w:r w:rsidR="001D7D92" w:rsidRPr="00025B12">
              <w:rPr>
                <w:rFonts w:ascii="Verdana" w:hAnsi="Verdana"/>
                <w:sz w:val="18"/>
                <w:szCs w:val="18"/>
              </w:rPr>
              <w:t xml:space="preserve"> Jedna autorizovaná osoba může mít autorizaci pro více kvalifikací, započtena je zde každá autorizace zvlášť.</w:t>
            </w:r>
          </w:p>
        </w:tc>
      </w:tr>
      <w:tr w:rsidR="0088462A" w:rsidRPr="00025B12" w:rsidTr="00D131AA">
        <w:trPr>
          <w:trHeight w:val="1053"/>
        </w:trPr>
        <w:tc>
          <w:tcPr>
            <w:tcW w:w="9288" w:type="dxa"/>
            <w:gridSpan w:val="5"/>
          </w:tcPr>
          <w:p w:rsidR="0088462A" w:rsidRPr="00025B12" w:rsidRDefault="0088462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88462A" w:rsidRPr="00025B12" w:rsidRDefault="0088462A" w:rsidP="00D131AA">
            <w:pPr>
              <w:jc w:val="both"/>
              <w:rPr>
                <w:rFonts w:ascii="Verdana" w:hAnsi="Verdana"/>
                <w:sz w:val="18"/>
                <w:szCs w:val="18"/>
              </w:rPr>
            </w:pPr>
            <w:r w:rsidRPr="00025B12">
              <w:rPr>
                <w:rFonts w:ascii="Verdana" w:hAnsi="Verdana"/>
                <w:sz w:val="18"/>
                <w:szCs w:val="18"/>
              </w:rPr>
              <w:t>Data pro indikátor by měla být v budoucnu získávána z informačního systému ISKA, který bude sloužit pro evidenci kvalifikací a autorizací v rámci systému uznávání výsledků dalšího vzdělávání. Údaje by měly být k dispozici v celorepublikové i regionální podobě.</w:t>
            </w:r>
          </w:p>
        </w:tc>
      </w:tr>
      <w:tr w:rsidR="0088462A" w:rsidRPr="00025B12" w:rsidTr="00D131AA">
        <w:trPr>
          <w:trHeight w:val="837"/>
        </w:trPr>
        <w:tc>
          <w:tcPr>
            <w:tcW w:w="9288" w:type="dxa"/>
            <w:gridSpan w:val="5"/>
          </w:tcPr>
          <w:p w:rsidR="0088462A" w:rsidRPr="00025B12" w:rsidRDefault="0088462A"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88462A" w:rsidRPr="00025B12" w:rsidRDefault="0088462A" w:rsidP="00D131AA">
            <w:pPr>
              <w:jc w:val="both"/>
              <w:rPr>
                <w:rFonts w:ascii="Verdana" w:hAnsi="Verdana"/>
                <w:sz w:val="18"/>
                <w:szCs w:val="18"/>
              </w:rPr>
            </w:pPr>
            <w:r w:rsidRPr="00025B12">
              <w:rPr>
                <w:rFonts w:ascii="Verdana" w:hAnsi="Verdana"/>
                <w:sz w:val="18"/>
                <w:szCs w:val="18"/>
              </w:rPr>
              <w:t xml:space="preserve">V současné době je indikátor nahrazen proxypodobou, která </w:t>
            </w:r>
            <w:r w:rsidR="00720FC6" w:rsidRPr="00025B12">
              <w:rPr>
                <w:rFonts w:ascii="Verdana" w:hAnsi="Verdana"/>
                <w:sz w:val="18"/>
                <w:szCs w:val="18"/>
              </w:rPr>
              <w:t>neumožňuje</w:t>
            </w:r>
            <w:r w:rsidRPr="00025B12">
              <w:rPr>
                <w:rFonts w:ascii="Verdana" w:hAnsi="Verdana"/>
                <w:sz w:val="18"/>
                <w:szCs w:val="18"/>
              </w:rPr>
              <w:t xml:space="preserve"> regionální členění ani členění podle kvalifikací.</w:t>
            </w:r>
          </w:p>
        </w:tc>
      </w:tr>
    </w:tbl>
    <w:p w:rsidR="004C030B" w:rsidRPr="00025B12" w:rsidRDefault="004C030B" w:rsidP="004C030B"/>
    <w:p w:rsidR="0088462A" w:rsidRPr="00025B12" w:rsidRDefault="0088462A" w:rsidP="004C030B">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1642"/>
        <w:gridCol w:w="2291"/>
        <w:gridCol w:w="2113"/>
        <w:gridCol w:w="1794"/>
      </w:tblGrid>
      <w:tr w:rsidR="004C030B" w:rsidRPr="00025B12" w:rsidTr="00160234">
        <w:trPr>
          <w:trHeight w:val="425"/>
        </w:trPr>
        <w:tc>
          <w:tcPr>
            <w:tcW w:w="1448" w:type="dxa"/>
            <w:tcBorders>
              <w:bottom w:val="single" w:sz="4" w:space="0" w:color="auto"/>
              <w:right w:val="single" w:sz="4" w:space="0" w:color="auto"/>
            </w:tcBorders>
            <w:shd w:val="clear" w:color="auto" w:fill="663399"/>
            <w:vAlign w:val="center"/>
          </w:tcPr>
          <w:p w:rsidR="004C030B" w:rsidRPr="00025B12" w:rsidRDefault="004C030B" w:rsidP="00A9209D">
            <w:pPr>
              <w:pStyle w:val="Kd"/>
              <w:rPr>
                <w:sz w:val="18"/>
                <w:szCs w:val="18"/>
              </w:rPr>
            </w:pPr>
            <w:r w:rsidRPr="00025B12">
              <w:rPr>
                <w:sz w:val="18"/>
                <w:szCs w:val="18"/>
              </w:rPr>
              <w:br w:type="page"/>
            </w:r>
            <w:r w:rsidRPr="00025B12">
              <w:rPr>
                <w:sz w:val="18"/>
                <w:szCs w:val="18"/>
              </w:rPr>
              <w:br w:type="page"/>
            </w:r>
            <w:bookmarkStart w:id="90" w:name="II61"/>
            <w:r w:rsidRPr="00025B12">
              <w:rPr>
                <w:sz w:val="18"/>
                <w:szCs w:val="18"/>
              </w:rPr>
              <w:t>II.6.</w:t>
            </w:r>
            <w:r w:rsidR="008D36D8" w:rsidRPr="00025B12">
              <w:rPr>
                <w:sz w:val="18"/>
                <w:szCs w:val="18"/>
              </w:rPr>
              <w:t>d</w:t>
            </w:r>
            <w:r w:rsidRPr="00025B12">
              <w:rPr>
                <w:sz w:val="18"/>
                <w:szCs w:val="18"/>
              </w:rPr>
              <w:t>1</w:t>
            </w:r>
            <w:bookmarkEnd w:id="90"/>
          </w:p>
        </w:tc>
        <w:tc>
          <w:tcPr>
            <w:tcW w:w="7840" w:type="dxa"/>
            <w:gridSpan w:val="4"/>
            <w:vMerge w:val="restart"/>
            <w:tcBorders>
              <w:top w:val="single" w:sz="4" w:space="0" w:color="auto"/>
              <w:left w:val="single" w:sz="4" w:space="0" w:color="auto"/>
              <w:right w:val="single" w:sz="4" w:space="0" w:color="auto"/>
            </w:tcBorders>
            <w:shd w:val="clear" w:color="auto" w:fill="663399"/>
            <w:vAlign w:val="center"/>
          </w:tcPr>
          <w:p w:rsidR="004C030B" w:rsidRPr="00025B12" w:rsidRDefault="004C030B"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Počet autorizovaných osob pro uznávání výsledků dalšího vzdělávání</w:t>
            </w:r>
          </w:p>
        </w:tc>
      </w:tr>
      <w:tr w:rsidR="00A20048" w:rsidRPr="00025B12" w:rsidTr="00160234">
        <w:trPr>
          <w:trHeight w:val="360"/>
        </w:trPr>
        <w:tc>
          <w:tcPr>
            <w:tcW w:w="1448" w:type="dxa"/>
            <w:tcBorders>
              <w:top w:val="single" w:sz="4" w:space="0" w:color="auto"/>
              <w:bottom w:val="single" w:sz="4" w:space="0" w:color="auto"/>
              <w:right w:val="single" w:sz="4" w:space="0" w:color="auto"/>
            </w:tcBorders>
            <w:shd w:val="clear" w:color="auto" w:fill="663399"/>
            <w:vAlign w:val="center"/>
          </w:tcPr>
          <w:p w:rsidR="00A20048" w:rsidRPr="00025B12" w:rsidRDefault="00A20048" w:rsidP="00A2004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40" w:type="dxa"/>
            <w:gridSpan w:val="4"/>
            <w:vMerge/>
            <w:tcBorders>
              <w:left w:val="single" w:sz="4" w:space="0" w:color="auto"/>
              <w:bottom w:val="single" w:sz="4" w:space="0" w:color="auto"/>
              <w:right w:val="single"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p>
        </w:tc>
      </w:tr>
      <w:tr w:rsidR="00A20048" w:rsidRPr="00025B12" w:rsidTr="00296FE3">
        <w:trPr>
          <w:trHeight w:val="360"/>
        </w:trPr>
        <w:tc>
          <w:tcPr>
            <w:tcW w:w="1448" w:type="dxa"/>
            <w:tcBorders>
              <w:top w:val="single" w:sz="4" w:space="0" w:color="auto"/>
              <w:bottom w:val="dotted" w:sz="4" w:space="0" w:color="auto"/>
              <w:right w:val="dotted" w:sz="4" w:space="0" w:color="auto"/>
            </w:tcBorders>
          </w:tcPr>
          <w:p w:rsidR="00A20048" w:rsidRPr="00025B12" w:rsidRDefault="00A20048" w:rsidP="00A9209D">
            <w:pPr>
              <w:spacing w:after="0" w:line="240" w:lineRule="auto"/>
              <w:jc w:val="center"/>
              <w:rPr>
                <w:rFonts w:ascii="Verdana" w:eastAsiaTheme="minorHAnsi" w:hAnsi="Verdana" w:cstheme="minorBidi"/>
                <w:sz w:val="18"/>
                <w:szCs w:val="18"/>
              </w:rPr>
            </w:pPr>
          </w:p>
        </w:tc>
        <w:tc>
          <w:tcPr>
            <w:tcW w:w="1642" w:type="dxa"/>
            <w:tcBorders>
              <w:top w:val="single" w:sz="4" w:space="0" w:color="auto"/>
              <w:left w:val="dotted" w:sz="4" w:space="0" w:color="auto"/>
              <w:bottom w:val="dotted" w:sz="4" w:space="0" w:color="auto"/>
              <w:right w:val="dotted" w:sz="4" w:space="0" w:color="auto"/>
            </w:tcBorders>
            <w:vAlign w:val="center"/>
          </w:tcPr>
          <w:p w:rsidR="00A20048" w:rsidRPr="00025B12" w:rsidRDefault="00A2004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91" w:type="dxa"/>
            <w:tcBorders>
              <w:top w:val="single" w:sz="4" w:space="0" w:color="auto"/>
              <w:left w:val="dotted" w:sz="4" w:space="0" w:color="auto"/>
              <w:bottom w:val="dotted" w:sz="4" w:space="0" w:color="auto"/>
              <w:right w:val="dotted" w:sz="4" w:space="0" w:color="auto"/>
            </w:tcBorders>
            <w:vAlign w:val="center"/>
          </w:tcPr>
          <w:p w:rsidR="00A20048" w:rsidRPr="00025B12" w:rsidRDefault="00A2004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3" w:type="dxa"/>
            <w:tcBorders>
              <w:top w:val="single" w:sz="4" w:space="0" w:color="auto"/>
              <w:left w:val="dotted" w:sz="4" w:space="0" w:color="auto"/>
              <w:bottom w:val="dotted" w:sz="4" w:space="0" w:color="auto"/>
              <w:right w:val="dotted" w:sz="4" w:space="0" w:color="auto"/>
            </w:tcBorders>
            <w:vAlign w:val="center"/>
          </w:tcPr>
          <w:p w:rsidR="00A20048" w:rsidRPr="00025B12" w:rsidRDefault="00A2004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94" w:type="dxa"/>
            <w:tcBorders>
              <w:top w:val="single" w:sz="4" w:space="0" w:color="auto"/>
              <w:left w:val="dotted" w:sz="4" w:space="0" w:color="auto"/>
              <w:bottom w:val="dotted" w:sz="4" w:space="0" w:color="auto"/>
            </w:tcBorders>
            <w:vAlign w:val="center"/>
          </w:tcPr>
          <w:p w:rsidR="00A20048" w:rsidRPr="00025B12" w:rsidRDefault="00A20048"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A20048" w:rsidRPr="00025B12" w:rsidTr="00160234">
        <w:trPr>
          <w:trHeight w:val="360"/>
        </w:trPr>
        <w:tc>
          <w:tcPr>
            <w:tcW w:w="1448" w:type="dxa"/>
            <w:tcBorders>
              <w:top w:val="dotted" w:sz="4" w:space="0" w:color="auto"/>
              <w:bottom w:val="dotted" w:sz="4" w:space="0" w:color="auto"/>
              <w:right w:val="dotted" w:sz="4" w:space="0" w:color="auto"/>
            </w:tcBorders>
          </w:tcPr>
          <w:p w:rsidR="00A20048" w:rsidRPr="00025B12" w:rsidRDefault="00A2004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42" w:type="dxa"/>
            <w:tcBorders>
              <w:top w:val="dotted" w:sz="4" w:space="0" w:color="auto"/>
              <w:left w:val="dotted" w:sz="4" w:space="0" w:color="auto"/>
              <w:bottom w:val="dotted" w:sz="4" w:space="0" w:color="auto"/>
              <w:right w:val="dotted"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91" w:type="dxa"/>
            <w:tcBorders>
              <w:top w:val="dotted" w:sz="4" w:space="0" w:color="auto"/>
              <w:left w:val="dotted" w:sz="4" w:space="0" w:color="auto"/>
              <w:bottom w:val="dotted" w:sz="4" w:space="0" w:color="auto"/>
              <w:right w:val="dotted"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bottom w:val="dotted" w:sz="4" w:space="0" w:color="auto"/>
              <w:right w:val="dotted"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94" w:type="dxa"/>
            <w:tcBorders>
              <w:top w:val="dotted" w:sz="4" w:space="0" w:color="auto"/>
              <w:left w:val="dotted" w:sz="4" w:space="0" w:color="auto"/>
              <w:bottom w:val="dotted"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A20048" w:rsidRPr="00025B12" w:rsidTr="00160234">
        <w:trPr>
          <w:trHeight w:val="360"/>
        </w:trPr>
        <w:tc>
          <w:tcPr>
            <w:tcW w:w="1448" w:type="dxa"/>
            <w:tcBorders>
              <w:top w:val="dotted" w:sz="4" w:space="0" w:color="auto"/>
              <w:bottom w:val="dotted" w:sz="4" w:space="0" w:color="auto"/>
              <w:right w:val="dotted" w:sz="4" w:space="0" w:color="auto"/>
            </w:tcBorders>
          </w:tcPr>
          <w:p w:rsidR="00A20048" w:rsidRPr="00025B12" w:rsidRDefault="00A2004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42" w:type="dxa"/>
            <w:tcBorders>
              <w:top w:val="dotted" w:sz="4" w:space="0" w:color="auto"/>
              <w:left w:val="dotted" w:sz="4" w:space="0" w:color="auto"/>
              <w:bottom w:val="dotted" w:sz="4" w:space="0" w:color="auto"/>
              <w:right w:val="dotted" w:sz="4" w:space="0" w:color="auto"/>
            </w:tcBorders>
            <w:vAlign w:val="center"/>
          </w:tcPr>
          <w:p w:rsidR="00A20048" w:rsidRPr="00025B12" w:rsidRDefault="00665F1D" w:rsidP="00160234">
            <w:pPr>
              <w:spacing w:after="0" w:line="240" w:lineRule="auto"/>
              <w:jc w:val="center"/>
              <w:rPr>
                <w:rFonts w:ascii="Verdana" w:eastAsiaTheme="minorHAnsi" w:hAnsi="Verdana" w:cstheme="minorBidi"/>
                <w:sz w:val="18"/>
                <w:szCs w:val="18"/>
              </w:rPr>
            </w:pPr>
            <w:hyperlink w:anchor="ISKA" w:history="1">
              <w:r w:rsidR="00A20048" w:rsidRPr="00025B12">
                <w:rPr>
                  <w:rStyle w:val="Hypertextovodkaz"/>
                  <w:rFonts w:ascii="Verdana" w:hAnsi="Verdana"/>
                  <w:sz w:val="18"/>
                  <w:szCs w:val="18"/>
                </w:rPr>
                <w:t>ISKA</w:t>
              </w:r>
            </w:hyperlink>
          </w:p>
        </w:tc>
        <w:tc>
          <w:tcPr>
            <w:tcW w:w="2291" w:type="dxa"/>
            <w:tcBorders>
              <w:top w:val="dotted" w:sz="4" w:space="0" w:color="auto"/>
              <w:left w:val="dotted" w:sz="4" w:space="0" w:color="auto"/>
              <w:bottom w:val="dotted" w:sz="4" w:space="0" w:color="auto"/>
              <w:right w:val="dotted"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bottom w:val="dotted" w:sz="4" w:space="0" w:color="auto"/>
              <w:right w:val="dotted"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94" w:type="dxa"/>
            <w:tcBorders>
              <w:top w:val="dotted" w:sz="4" w:space="0" w:color="auto"/>
              <w:left w:val="dotted" w:sz="4" w:space="0" w:color="auto"/>
              <w:bottom w:val="dotted"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A20048" w:rsidRPr="00025B12" w:rsidTr="00160234">
        <w:trPr>
          <w:trHeight w:val="360"/>
        </w:trPr>
        <w:tc>
          <w:tcPr>
            <w:tcW w:w="1448" w:type="dxa"/>
            <w:tcBorders>
              <w:top w:val="dotted" w:sz="4" w:space="0" w:color="auto"/>
              <w:right w:val="dotted" w:sz="4" w:space="0" w:color="auto"/>
            </w:tcBorders>
          </w:tcPr>
          <w:p w:rsidR="00A20048" w:rsidRPr="00025B12" w:rsidRDefault="00A20048"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42" w:type="dxa"/>
            <w:tcBorders>
              <w:top w:val="dotted" w:sz="4" w:space="0" w:color="auto"/>
              <w:left w:val="dotted" w:sz="4" w:space="0" w:color="auto"/>
              <w:right w:val="dotted" w:sz="4" w:space="0" w:color="auto"/>
            </w:tcBorders>
            <w:vAlign w:val="center"/>
          </w:tcPr>
          <w:p w:rsidR="00A20048" w:rsidRPr="00025B12" w:rsidRDefault="00665F1D" w:rsidP="00160234">
            <w:pPr>
              <w:spacing w:after="0" w:line="240" w:lineRule="auto"/>
              <w:jc w:val="center"/>
              <w:rPr>
                <w:rFonts w:ascii="Verdana" w:eastAsiaTheme="minorHAnsi" w:hAnsi="Verdana" w:cstheme="minorBidi"/>
                <w:sz w:val="18"/>
                <w:szCs w:val="18"/>
              </w:rPr>
            </w:pPr>
            <w:hyperlink w:anchor="ISKA" w:history="1">
              <w:r w:rsidR="00A20048" w:rsidRPr="00025B12">
                <w:rPr>
                  <w:rStyle w:val="Hypertextovodkaz"/>
                  <w:rFonts w:ascii="Verdana" w:hAnsi="Verdana"/>
                  <w:sz w:val="18"/>
                  <w:szCs w:val="18"/>
                </w:rPr>
                <w:t>ISKA</w:t>
              </w:r>
            </w:hyperlink>
          </w:p>
        </w:tc>
        <w:tc>
          <w:tcPr>
            <w:tcW w:w="2291" w:type="dxa"/>
            <w:tcBorders>
              <w:top w:val="dotted" w:sz="4" w:space="0" w:color="auto"/>
              <w:left w:val="dotted" w:sz="4" w:space="0" w:color="auto"/>
              <w:right w:val="dotted"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right w:val="dotted"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94" w:type="dxa"/>
            <w:tcBorders>
              <w:top w:val="dotted" w:sz="4" w:space="0" w:color="auto"/>
              <w:left w:val="dotted" w:sz="4" w:space="0" w:color="auto"/>
            </w:tcBorders>
            <w:vAlign w:val="center"/>
          </w:tcPr>
          <w:p w:rsidR="00A20048" w:rsidRPr="00025B12" w:rsidRDefault="00A20048"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A20048" w:rsidRPr="00025B12" w:rsidTr="00160234">
        <w:trPr>
          <w:trHeight w:val="274"/>
        </w:trPr>
        <w:tc>
          <w:tcPr>
            <w:tcW w:w="7494" w:type="dxa"/>
            <w:gridSpan w:val="4"/>
            <w:shd w:val="clear" w:color="auto" w:fill="663399"/>
          </w:tcPr>
          <w:p w:rsidR="00A20048" w:rsidRPr="00025B12" w:rsidRDefault="00A20048" w:rsidP="00A9209D">
            <w:pPr>
              <w:spacing w:after="0" w:line="240" w:lineRule="auto"/>
              <w:jc w:val="center"/>
              <w:rPr>
                <w:rFonts w:ascii="Verdana" w:eastAsiaTheme="minorHAnsi" w:hAnsi="Verdana" w:cstheme="minorBidi"/>
                <w:sz w:val="18"/>
                <w:szCs w:val="18"/>
              </w:rPr>
            </w:pPr>
          </w:p>
        </w:tc>
        <w:tc>
          <w:tcPr>
            <w:tcW w:w="1794" w:type="dxa"/>
            <w:shd w:val="clear" w:color="auto" w:fill="663399"/>
          </w:tcPr>
          <w:p w:rsidR="00A20048" w:rsidRPr="00025B12" w:rsidRDefault="00A20048" w:rsidP="00A9209D">
            <w:pPr>
              <w:spacing w:after="0" w:line="240" w:lineRule="auto"/>
              <w:jc w:val="center"/>
              <w:rPr>
                <w:rFonts w:ascii="Verdana" w:eastAsiaTheme="minorHAnsi" w:hAnsi="Verdana" w:cstheme="minorBidi"/>
                <w:sz w:val="18"/>
                <w:szCs w:val="18"/>
              </w:rPr>
            </w:pPr>
          </w:p>
        </w:tc>
      </w:tr>
      <w:tr w:rsidR="00A20048" w:rsidRPr="00025B12" w:rsidTr="00160234">
        <w:trPr>
          <w:trHeight w:val="1319"/>
        </w:trPr>
        <w:tc>
          <w:tcPr>
            <w:tcW w:w="9288" w:type="dxa"/>
            <w:gridSpan w:val="5"/>
          </w:tcPr>
          <w:p w:rsidR="00A20048" w:rsidRPr="00025B12" w:rsidRDefault="00A2004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A20048" w:rsidRPr="00025B12" w:rsidRDefault="00A20048" w:rsidP="001D7D92">
            <w:pPr>
              <w:jc w:val="both"/>
              <w:rPr>
                <w:rFonts w:ascii="Verdana" w:hAnsi="Verdana"/>
                <w:sz w:val="18"/>
                <w:szCs w:val="18"/>
              </w:rPr>
            </w:pPr>
            <w:r w:rsidRPr="00025B12">
              <w:rPr>
                <w:rFonts w:ascii="Verdana" w:hAnsi="Verdana"/>
                <w:sz w:val="18"/>
                <w:szCs w:val="18"/>
              </w:rPr>
              <w:t xml:space="preserve">Indikátor by měl informovat o kapacitách pro uznávání výsledků dalšího vzdělávání. Jeho obsahem je počet autorizovaných osob, tedy fyzických i právnických osob, které mohou ověřovat a udělovat kvalifikace. Počet autorizovaných osob ukazuje </w:t>
            </w:r>
            <w:r w:rsidR="001D7D92" w:rsidRPr="00025B12">
              <w:rPr>
                <w:rFonts w:ascii="Verdana" w:hAnsi="Verdana"/>
                <w:sz w:val="18"/>
                <w:szCs w:val="18"/>
              </w:rPr>
              <w:t xml:space="preserve">celkový rozsah institucí angažujících se v systému </w:t>
            </w:r>
            <w:r w:rsidRPr="00025B12">
              <w:rPr>
                <w:rFonts w:ascii="Verdana" w:hAnsi="Verdana"/>
                <w:sz w:val="18"/>
                <w:szCs w:val="18"/>
              </w:rPr>
              <w:t>uznávání výsledků dalšího vzdělávání, detailnější informaci poskytuje indikátor II.6.1</w:t>
            </w:r>
          </w:p>
        </w:tc>
      </w:tr>
      <w:tr w:rsidR="00A20048" w:rsidRPr="00025B12" w:rsidTr="00160234">
        <w:trPr>
          <w:trHeight w:val="1485"/>
        </w:trPr>
        <w:tc>
          <w:tcPr>
            <w:tcW w:w="9288" w:type="dxa"/>
            <w:gridSpan w:val="5"/>
          </w:tcPr>
          <w:p w:rsidR="00A20048" w:rsidRPr="00025B12" w:rsidRDefault="00A2004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A20048" w:rsidRPr="00025B12" w:rsidRDefault="00A20048" w:rsidP="00A9209D">
            <w:pPr>
              <w:jc w:val="both"/>
              <w:rPr>
                <w:rFonts w:ascii="Verdana" w:hAnsi="Verdana"/>
                <w:sz w:val="18"/>
                <w:szCs w:val="18"/>
              </w:rPr>
            </w:pPr>
            <w:r w:rsidRPr="00025B12">
              <w:rPr>
                <w:rFonts w:ascii="Verdana" w:hAnsi="Verdana"/>
                <w:sz w:val="18"/>
                <w:szCs w:val="18"/>
              </w:rPr>
              <w:t>Indikátor uvádí jednak absolutní počet autorizovaných osob a jednak jejich počet v přepočtu na 100 tis. dospělých obyvatel ve věku 25-64 let.</w:t>
            </w:r>
            <w:r w:rsidR="001D7D92" w:rsidRPr="00025B12">
              <w:rPr>
                <w:rFonts w:ascii="Verdana" w:hAnsi="Verdana"/>
                <w:sz w:val="18"/>
                <w:szCs w:val="18"/>
              </w:rPr>
              <w:t xml:space="preserve"> Na rozdíl od indikátoru II.6.1 informuje tento indikátor o počtu autorizovaných osob bez ohledu na to, kolik autorizací mají.</w:t>
            </w:r>
          </w:p>
        </w:tc>
      </w:tr>
      <w:tr w:rsidR="00A20048" w:rsidRPr="00025B12" w:rsidTr="00160234">
        <w:trPr>
          <w:trHeight w:val="1053"/>
        </w:trPr>
        <w:tc>
          <w:tcPr>
            <w:tcW w:w="9288" w:type="dxa"/>
            <w:gridSpan w:val="5"/>
          </w:tcPr>
          <w:p w:rsidR="00A20048" w:rsidRPr="00025B12" w:rsidRDefault="00A2004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A20048" w:rsidRPr="00025B12" w:rsidRDefault="00A20048" w:rsidP="00A9209D">
            <w:pPr>
              <w:jc w:val="both"/>
              <w:rPr>
                <w:rFonts w:ascii="Verdana" w:hAnsi="Verdana"/>
                <w:sz w:val="18"/>
                <w:szCs w:val="18"/>
              </w:rPr>
            </w:pPr>
            <w:r w:rsidRPr="00025B12">
              <w:rPr>
                <w:rFonts w:ascii="Verdana" w:hAnsi="Verdana"/>
                <w:sz w:val="18"/>
                <w:szCs w:val="18"/>
              </w:rPr>
              <w:t>Data pro indikátor by měla být v budoucnu získávána z informačního systému ISKA, který bude sloužit pro evidenci kvalifikací a autorizací v rámci systému uznávání výsledků dalšího vzdělávání. Údaje by měly být k dispozici v celorepublikové i regionální podobě.</w:t>
            </w:r>
          </w:p>
        </w:tc>
      </w:tr>
      <w:tr w:rsidR="00A20048" w:rsidRPr="00025B12" w:rsidTr="00160234">
        <w:trPr>
          <w:trHeight w:val="837"/>
        </w:trPr>
        <w:tc>
          <w:tcPr>
            <w:tcW w:w="9288" w:type="dxa"/>
            <w:gridSpan w:val="5"/>
          </w:tcPr>
          <w:p w:rsidR="00A20048" w:rsidRPr="00025B12" w:rsidRDefault="00A20048"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A20048" w:rsidRPr="00025B12" w:rsidRDefault="00A20048" w:rsidP="00A9209D">
            <w:pPr>
              <w:jc w:val="both"/>
              <w:rPr>
                <w:rFonts w:ascii="Verdana" w:hAnsi="Verdana"/>
                <w:sz w:val="18"/>
                <w:szCs w:val="18"/>
              </w:rPr>
            </w:pPr>
            <w:r w:rsidRPr="00025B12">
              <w:rPr>
                <w:rFonts w:ascii="Verdana" w:hAnsi="Verdana"/>
                <w:sz w:val="18"/>
                <w:szCs w:val="18"/>
              </w:rPr>
              <w:t xml:space="preserve">V současné době je indikátor nahrazen proxypodobou, která </w:t>
            </w:r>
            <w:r w:rsidR="00E26E2D" w:rsidRPr="00025B12">
              <w:rPr>
                <w:rFonts w:ascii="Verdana" w:hAnsi="Verdana"/>
                <w:sz w:val="18"/>
                <w:szCs w:val="18"/>
              </w:rPr>
              <w:t>neumožňuje</w:t>
            </w:r>
            <w:r w:rsidRPr="00025B12">
              <w:rPr>
                <w:rFonts w:ascii="Verdana" w:hAnsi="Verdana"/>
                <w:sz w:val="18"/>
                <w:szCs w:val="18"/>
              </w:rPr>
              <w:t xml:space="preserve"> regionální členění.</w:t>
            </w:r>
          </w:p>
        </w:tc>
      </w:tr>
    </w:tbl>
    <w:p w:rsidR="004C030B" w:rsidRPr="00025B12" w:rsidRDefault="004C030B" w:rsidP="004C030B"/>
    <w:p w:rsidR="004C030B" w:rsidRPr="00025B12" w:rsidRDefault="004C030B" w:rsidP="004C030B">
      <w:r w:rsidRPr="00025B12">
        <w:br w:type="page"/>
      </w:r>
    </w:p>
    <w:p w:rsidR="00C43089" w:rsidRPr="00025B12" w:rsidRDefault="00C43089" w:rsidP="00D131AA">
      <w:pPr>
        <w:pStyle w:val="nadkonc3"/>
        <w:numPr>
          <w:ilvl w:val="2"/>
          <w:numId w:val="10"/>
        </w:numPr>
        <w:rPr>
          <w:caps/>
        </w:rPr>
      </w:pPr>
      <w:bookmarkStart w:id="91" w:name="_Toc295836806"/>
      <w:bookmarkStart w:id="92" w:name="_Toc304898622"/>
      <w:r w:rsidRPr="00025B12">
        <w:rPr>
          <w:caps/>
        </w:rPr>
        <w:t>Procesy</w:t>
      </w:r>
      <w:bookmarkEnd w:id="65"/>
      <w:bookmarkEnd w:id="66"/>
      <w:bookmarkEnd w:id="91"/>
      <w:bookmarkEnd w:id="92"/>
    </w:p>
    <w:p w:rsidR="00C43089" w:rsidRPr="00025B12" w:rsidRDefault="00C43089" w:rsidP="00C43089">
      <w:pPr>
        <w:jc w:val="both"/>
        <w:rPr>
          <w:rFonts w:ascii="Verdana" w:hAnsi="Verdana"/>
          <w:sz w:val="20"/>
          <w:szCs w:val="20"/>
        </w:rPr>
      </w:pPr>
      <w:r w:rsidRPr="00025B12">
        <w:rPr>
          <w:rFonts w:ascii="Verdana" w:hAnsi="Verdana"/>
          <w:sz w:val="20"/>
          <w:szCs w:val="20"/>
        </w:rPr>
        <w:t>Pilíř procesy by měl mapovat především průběh dalšího vzdělávání. Klíčovou otázkou tohoto pilíře je „jak“ – tedy jakými způsoby další vzdělávání probíhá? Měl by proto mapovat jaká je nabídka dalšího vzdělávání a jakým způsobem je tvořena poptávka po něm, jaká je jeho kvalita a jaké jsou překážky pro vstup do dalšího vzdělávání. Pilíř procesy se skládá z následujících oblastí:</w:t>
      </w:r>
    </w:p>
    <w:p w:rsidR="00C43089" w:rsidRPr="00025B12" w:rsidRDefault="00C43089" w:rsidP="00C43089">
      <w:pPr>
        <w:jc w:val="both"/>
        <w:rPr>
          <w:rFonts w:ascii="Verdana" w:hAnsi="Verdana"/>
          <w:sz w:val="20"/>
          <w:szCs w:val="20"/>
        </w:rPr>
      </w:pPr>
      <w:r w:rsidRPr="00025B12">
        <w:rPr>
          <w:rFonts w:ascii="Verdana" w:hAnsi="Verdana"/>
          <w:sz w:val="20"/>
          <w:szCs w:val="20"/>
        </w:rPr>
        <w:t>III.1 Nabídka formálního dalšího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III.2 Nabídka neformálního dalšího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III.3 Vzdělávací politika podniků</w:t>
      </w:r>
    </w:p>
    <w:p w:rsidR="00C43089" w:rsidRPr="00025B12" w:rsidRDefault="00C43089" w:rsidP="00C43089">
      <w:pPr>
        <w:jc w:val="both"/>
        <w:rPr>
          <w:rFonts w:ascii="Verdana" w:hAnsi="Verdana"/>
          <w:sz w:val="20"/>
          <w:szCs w:val="20"/>
        </w:rPr>
      </w:pPr>
      <w:r w:rsidRPr="00025B12">
        <w:rPr>
          <w:rFonts w:ascii="Verdana" w:hAnsi="Verdana"/>
          <w:sz w:val="20"/>
          <w:szCs w:val="20"/>
        </w:rPr>
        <w:t>III.4 Kvalita dalšího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III.5 Bariéry účasti na dalším vzdělávání</w:t>
      </w:r>
    </w:p>
    <w:p w:rsidR="00C43089" w:rsidRPr="00025B12" w:rsidRDefault="00C43089" w:rsidP="00C43089">
      <w:pPr>
        <w:jc w:val="both"/>
        <w:rPr>
          <w:rFonts w:ascii="Verdana" w:hAnsi="Verdana"/>
          <w:sz w:val="20"/>
          <w:szCs w:val="20"/>
        </w:rPr>
      </w:pPr>
    </w:p>
    <w:p w:rsidR="00C43089" w:rsidRPr="00025B12" w:rsidRDefault="00E8213D" w:rsidP="000C6631">
      <w:pPr>
        <w:jc w:val="both"/>
        <w:outlineLvl w:val="0"/>
        <w:rPr>
          <w:rFonts w:ascii="Verdana" w:hAnsi="Verdana"/>
          <w:b/>
          <w:sz w:val="24"/>
          <w:szCs w:val="24"/>
        </w:rPr>
      </w:pPr>
      <w:r w:rsidRPr="00025B12">
        <w:rPr>
          <w:rFonts w:ascii="Verdana" w:hAnsi="Verdana"/>
          <w:b/>
          <w:sz w:val="20"/>
          <w:szCs w:val="20"/>
        </w:rPr>
        <w:br w:type="page"/>
      </w:r>
      <w:r w:rsidR="00C43089" w:rsidRPr="00025B12">
        <w:rPr>
          <w:rFonts w:ascii="Verdana" w:hAnsi="Verdana"/>
          <w:b/>
          <w:sz w:val="24"/>
          <w:szCs w:val="24"/>
        </w:rPr>
        <w:lastRenderedPageBreak/>
        <w:t>III.1 Nabídka formálního dalšího vzdělávání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1642"/>
        <w:gridCol w:w="2291"/>
        <w:gridCol w:w="2113"/>
        <w:gridCol w:w="1794"/>
      </w:tblGrid>
      <w:tr w:rsidR="00262278" w:rsidRPr="00025B12" w:rsidTr="00D131AA">
        <w:trPr>
          <w:trHeight w:val="425"/>
        </w:trPr>
        <w:tc>
          <w:tcPr>
            <w:tcW w:w="1448" w:type="dxa"/>
            <w:tcBorders>
              <w:bottom w:val="single" w:sz="4" w:space="0" w:color="auto"/>
              <w:right w:val="single" w:sz="4" w:space="0" w:color="auto"/>
            </w:tcBorders>
            <w:shd w:val="clear" w:color="auto" w:fill="663399"/>
            <w:vAlign w:val="center"/>
          </w:tcPr>
          <w:p w:rsidR="00262278" w:rsidRPr="00025B12" w:rsidRDefault="00262278" w:rsidP="00D131AA">
            <w:pPr>
              <w:pStyle w:val="Kd"/>
              <w:rPr>
                <w:sz w:val="18"/>
                <w:szCs w:val="18"/>
              </w:rPr>
            </w:pPr>
            <w:r w:rsidRPr="00025B12">
              <w:rPr>
                <w:sz w:val="18"/>
                <w:szCs w:val="18"/>
              </w:rPr>
              <w:br w:type="page"/>
            </w:r>
            <w:r w:rsidRPr="00025B12">
              <w:rPr>
                <w:sz w:val="18"/>
                <w:szCs w:val="18"/>
              </w:rPr>
              <w:br w:type="page"/>
            </w:r>
            <w:bookmarkStart w:id="93" w:name="III12"/>
            <w:r w:rsidRPr="00025B12">
              <w:rPr>
                <w:sz w:val="18"/>
                <w:szCs w:val="18"/>
              </w:rPr>
              <w:t>III.1.</w:t>
            </w:r>
            <w:bookmarkEnd w:id="93"/>
            <w:r w:rsidRPr="00025B12">
              <w:rPr>
                <w:sz w:val="18"/>
                <w:szCs w:val="18"/>
              </w:rPr>
              <w:t>1</w:t>
            </w:r>
          </w:p>
        </w:tc>
        <w:tc>
          <w:tcPr>
            <w:tcW w:w="7840" w:type="dxa"/>
            <w:gridSpan w:val="4"/>
            <w:vMerge w:val="restart"/>
            <w:tcBorders>
              <w:top w:val="single" w:sz="4" w:space="0" w:color="auto"/>
              <w:left w:val="single" w:sz="4" w:space="0" w:color="auto"/>
              <w:right w:val="single" w:sz="4" w:space="0" w:color="auto"/>
            </w:tcBorders>
            <w:shd w:val="clear" w:color="auto" w:fill="663399"/>
            <w:vAlign w:val="center"/>
          </w:tcPr>
          <w:p w:rsidR="00262278" w:rsidRPr="00025B12" w:rsidRDefault="00262278"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Nabídka dalšího formálního vzdělá</w:t>
            </w:r>
            <w:r w:rsidR="00AB53D6" w:rsidRPr="00025B12">
              <w:rPr>
                <w:rFonts w:ascii="Verdana" w:eastAsiaTheme="minorHAnsi" w:hAnsi="Verdana" w:cstheme="minorBidi"/>
                <w:b/>
                <w:color w:val="FFFFFF" w:themeColor="background1"/>
              </w:rPr>
              <w:t>vá</w:t>
            </w:r>
            <w:r w:rsidRPr="00025B12">
              <w:rPr>
                <w:rFonts w:ascii="Verdana" w:eastAsiaTheme="minorHAnsi" w:hAnsi="Verdana" w:cstheme="minorBidi"/>
                <w:b/>
                <w:color w:val="FFFFFF" w:themeColor="background1"/>
              </w:rPr>
              <w:t>ní vztažená ke struktuře zaměstnanosti</w:t>
            </w:r>
          </w:p>
        </w:tc>
      </w:tr>
      <w:tr w:rsidR="00262278" w:rsidRPr="00025B12" w:rsidTr="00D131AA">
        <w:trPr>
          <w:trHeight w:val="360"/>
        </w:trPr>
        <w:tc>
          <w:tcPr>
            <w:tcW w:w="1448" w:type="dxa"/>
            <w:tcBorders>
              <w:top w:val="single" w:sz="4" w:space="0" w:color="auto"/>
              <w:bottom w:val="single" w:sz="4" w:space="0" w:color="auto"/>
              <w:right w:val="single" w:sz="4" w:space="0" w:color="auto"/>
            </w:tcBorders>
            <w:shd w:val="clear" w:color="auto" w:fill="663399"/>
            <w:vAlign w:val="center"/>
          </w:tcPr>
          <w:p w:rsidR="00262278" w:rsidRPr="00025B12" w:rsidRDefault="00262278"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40" w:type="dxa"/>
            <w:gridSpan w:val="4"/>
            <w:vMerge/>
            <w:tcBorders>
              <w:left w:val="single" w:sz="4" w:space="0" w:color="auto"/>
              <w:bottom w:val="single" w:sz="4" w:space="0" w:color="auto"/>
              <w:right w:val="single" w:sz="4" w:space="0" w:color="auto"/>
            </w:tcBorders>
            <w:vAlign w:val="center"/>
          </w:tcPr>
          <w:p w:rsidR="00262278" w:rsidRPr="00025B12" w:rsidRDefault="00262278" w:rsidP="00D131AA">
            <w:pPr>
              <w:spacing w:after="0" w:line="240" w:lineRule="auto"/>
              <w:jc w:val="center"/>
              <w:rPr>
                <w:rFonts w:ascii="Verdana" w:eastAsiaTheme="minorHAnsi" w:hAnsi="Verdana" w:cstheme="minorBidi"/>
                <w:sz w:val="18"/>
                <w:szCs w:val="18"/>
              </w:rPr>
            </w:pPr>
          </w:p>
        </w:tc>
      </w:tr>
      <w:tr w:rsidR="00262278" w:rsidRPr="00025B12" w:rsidTr="00296FE3">
        <w:trPr>
          <w:trHeight w:val="360"/>
        </w:trPr>
        <w:tc>
          <w:tcPr>
            <w:tcW w:w="1448" w:type="dxa"/>
            <w:tcBorders>
              <w:top w:val="single" w:sz="4" w:space="0" w:color="auto"/>
              <w:bottom w:val="dotted" w:sz="4" w:space="0" w:color="auto"/>
              <w:right w:val="dotted" w:sz="4" w:space="0" w:color="auto"/>
            </w:tcBorders>
          </w:tcPr>
          <w:p w:rsidR="00262278" w:rsidRPr="00025B12" w:rsidRDefault="00262278" w:rsidP="00D131AA">
            <w:pPr>
              <w:spacing w:after="0" w:line="240" w:lineRule="auto"/>
              <w:jc w:val="center"/>
              <w:rPr>
                <w:rFonts w:ascii="Verdana" w:eastAsiaTheme="minorHAnsi" w:hAnsi="Verdana" w:cstheme="minorBidi"/>
                <w:sz w:val="18"/>
                <w:szCs w:val="18"/>
              </w:rPr>
            </w:pPr>
          </w:p>
        </w:tc>
        <w:tc>
          <w:tcPr>
            <w:tcW w:w="1642" w:type="dxa"/>
            <w:tcBorders>
              <w:top w:val="single" w:sz="4" w:space="0" w:color="auto"/>
              <w:left w:val="dotted" w:sz="4" w:space="0" w:color="auto"/>
              <w:bottom w:val="dotted" w:sz="4" w:space="0" w:color="auto"/>
              <w:right w:val="dotted" w:sz="4" w:space="0" w:color="auto"/>
            </w:tcBorders>
            <w:vAlign w:val="center"/>
          </w:tcPr>
          <w:p w:rsidR="00262278" w:rsidRPr="00025B12" w:rsidRDefault="00262278"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91" w:type="dxa"/>
            <w:tcBorders>
              <w:top w:val="single" w:sz="4" w:space="0" w:color="auto"/>
              <w:left w:val="dotted" w:sz="4" w:space="0" w:color="auto"/>
              <w:bottom w:val="dotted" w:sz="4" w:space="0" w:color="auto"/>
              <w:right w:val="dotted" w:sz="4" w:space="0" w:color="auto"/>
            </w:tcBorders>
            <w:vAlign w:val="center"/>
          </w:tcPr>
          <w:p w:rsidR="00262278" w:rsidRPr="00025B12" w:rsidRDefault="00262278"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3" w:type="dxa"/>
            <w:tcBorders>
              <w:top w:val="single" w:sz="4" w:space="0" w:color="auto"/>
              <w:left w:val="dotted" w:sz="4" w:space="0" w:color="auto"/>
              <w:bottom w:val="dotted" w:sz="4" w:space="0" w:color="auto"/>
              <w:right w:val="dotted" w:sz="4" w:space="0" w:color="auto"/>
            </w:tcBorders>
            <w:vAlign w:val="center"/>
          </w:tcPr>
          <w:p w:rsidR="00262278" w:rsidRPr="00025B12" w:rsidRDefault="00262278"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94" w:type="dxa"/>
            <w:tcBorders>
              <w:top w:val="single" w:sz="4" w:space="0" w:color="auto"/>
              <w:left w:val="dotted" w:sz="4" w:space="0" w:color="auto"/>
              <w:bottom w:val="dotted" w:sz="4" w:space="0" w:color="auto"/>
            </w:tcBorders>
            <w:vAlign w:val="center"/>
          </w:tcPr>
          <w:p w:rsidR="00262278" w:rsidRPr="00025B12" w:rsidRDefault="00262278"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262278" w:rsidRPr="00025B12" w:rsidTr="00D131AA">
        <w:trPr>
          <w:trHeight w:val="360"/>
        </w:trPr>
        <w:tc>
          <w:tcPr>
            <w:tcW w:w="1448" w:type="dxa"/>
            <w:tcBorders>
              <w:top w:val="dotted" w:sz="4" w:space="0" w:color="auto"/>
              <w:bottom w:val="dotted" w:sz="4" w:space="0" w:color="auto"/>
              <w:right w:val="dotted" w:sz="4" w:space="0" w:color="auto"/>
            </w:tcBorders>
          </w:tcPr>
          <w:p w:rsidR="00262278" w:rsidRPr="00025B12" w:rsidRDefault="00262278"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42" w:type="dxa"/>
            <w:tcBorders>
              <w:top w:val="dotted" w:sz="4" w:space="0" w:color="auto"/>
              <w:left w:val="dotted" w:sz="4" w:space="0" w:color="auto"/>
              <w:bottom w:val="dotted" w:sz="4" w:space="0" w:color="auto"/>
              <w:right w:val="dotted" w:sz="4" w:space="0" w:color="auto"/>
            </w:tcBorders>
            <w:vAlign w:val="center"/>
          </w:tcPr>
          <w:p w:rsidR="00262278" w:rsidRPr="00025B12" w:rsidRDefault="00262278"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91" w:type="dxa"/>
            <w:tcBorders>
              <w:top w:val="dotted" w:sz="4" w:space="0" w:color="auto"/>
              <w:left w:val="dotted" w:sz="4" w:space="0" w:color="auto"/>
              <w:bottom w:val="dotted" w:sz="4" w:space="0" w:color="auto"/>
              <w:right w:val="dotted" w:sz="4" w:space="0" w:color="auto"/>
            </w:tcBorders>
            <w:vAlign w:val="center"/>
          </w:tcPr>
          <w:p w:rsidR="00262278" w:rsidRPr="00025B12" w:rsidRDefault="00262278"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bottom w:val="dotted" w:sz="4" w:space="0" w:color="auto"/>
              <w:right w:val="dotted" w:sz="4" w:space="0" w:color="auto"/>
            </w:tcBorders>
            <w:vAlign w:val="center"/>
          </w:tcPr>
          <w:p w:rsidR="00262278" w:rsidRPr="00025B12" w:rsidRDefault="00262278"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94" w:type="dxa"/>
            <w:tcBorders>
              <w:top w:val="dotted" w:sz="4" w:space="0" w:color="auto"/>
              <w:left w:val="dotted" w:sz="4" w:space="0" w:color="auto"/>
              <w:bottom w:val="dotted" w:sz="4" w:space="0" w:color="auto"/>
            </w:tcBorders>
            <w:vAlign w:val="center"/>
          </w:tcPr>
          <w:p w:rsidR="00262278" w:rsidRPr="00025B12" w:rsidRDefault="00262278"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262278" w:rsidRPr="00025B12" w:rsidTr="00D131AA">
        <w:trPr>
          <w:trHeight w:val="360"/>
        </w:trPr>
        <w:tc>
          <w:tcPr>
            <w:tcW w:w="1448" w:type="dxa"/>
            <w:tcBorders>
              <w:top w:val="dotted" w:sz="4" w:space="0" w:color="auto"/>
              <w:bottom w:val="dotted" w:sz="4" w:space="0" w:color="auto"/>
              <w:right w:val="dotted" w:sz="4" w:space="0" w:color="auto"/>
            </w:tcBorders>
          </w:tcPr>
          <w:p w:rsidR="00262278" w:rsidRPr="00025B12" w:rsidRDefault="00262278"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42" w:type="dxa"/>
            <w:tcBorders>
              <w:top w:val="dotted" w:sz="4" w:space="0" w:color="auto"/>
              <w:left w:val="dotted" w:sz="4" w:space="0" w:color="auto"/>
              <w:bottom w:val="dotted" w:sz="4" w:space="0" w:color="auto"/>
              <w:right w:val="dotted" w:sz="4" w:space="0" w:color="auto"/>
            </w:tcBorders>
            <w:vAlign w:val="center"/>
          </w:tcPr>
          <w:p w:rsidR="00262278" w:rsidRPr="00025B12" w:rsidRDefault="00665F1D" w:rsidP="00D131AA">
            <w:pPr>
              <w:spacing w:after="0" w:line="240" w:lineRule="auto"/>
              <w:jc w:val="center"/>
              <w:rPr>
                <w:rFonts w:ascii="Verdana" w:eastAsiaTheme="minorHAnsi" w:hAnsi="Verdana" w:cstheme="minorBidi"/>
                <w:sz w:val="18"/>
                <w:szCs w:val="18"/>
              </w:rPr>
            </w:pPr>
            <w:hyperlink w:anchor="SET" w:history="1">
              <w:r w:rsidR="00262278" w:rsidRPr="00025B12">
                <w:rPr>
                  <w:rStyle w:val="Hypertextovodkaz"/>
                  <w:rFonts w:ascii="Verdana" w:eastAsiaTheme="minorHAnsi" w:hAnsi="Verdana" w:cstheme="minorBidi"/>
                  <w:sz w:val="18"/>
                  <w:szCs w:val="18"/>
                </w:rPr>
                <w:t>SET</w:t>
              </w:r>
            </w:hyperlink>
            <w:r w:rsidR="00262278" w:rsidRPr="00025B12">
              <w:rPr>
                <w:rFonts w:ascii="Verdana" w:eastAsiaTheme="minorHAnsi" w:hAnsi="Verdana" w:cstheme="minorBidi"/>
                <w:sz w:val="18"/>
                <w:szCs w:val="18"/>
              </w:rPr>
              <w:t>/</w:t>
            </w:r>
            <w:hyperlink w:anchor="Databáze_UIV" w:history="1">
              <w:r w:rsidR="00262278" w:rsidRPr="00025B12">
                <w:rPr>
                  <w:rStyle w:val="Hypertextovodkaz"/>
                  <w:rFonts w:ascii="Verdana" w:eastAsiaTheme="minorHAnsi" w:hAnsi="Verdana" w:cstheme="minorBidi"/>
                  <w:sz w:val="18"/>
                  <w:szCs w:val="18"/>
                </w:rPr>
                <w:t>Databáze ÚIV</w:t>
              </w:r>
            </w:hyperlink>
            <w:r w:rsidR="00262278" w:rsidRPr="00025B12">
              <w:rPr>
                <w:rFonts w:ascii="Verdana" w:eastAsiaTheme="minorHAnsi" w:hAnsi="Verdana" w:cstheme="minorBidi"/>
                <w:sz w:val="18"/>
                <w:szCs w:val="18"/>
              </w:rPr>
              <w:t>+</w:t>
            </w:r>
            <w:hyperlink w:anchor="VŠPS" w:history="1">
              <w:r w:rsidR="00262278" w:rsidRPr="00025B12">
                <w:rPr>
                  <w:rStyle w:val="Hypertextovodkaz"/>
                  <w:rFonts w:ascii="Verdana" w:eastAsiaTheme="minorHAnsi" w:hAnsi="Verdana" w:cstheme="minorBidi"/>
                  <w:sz w:val="18"/>
                  <w:szCs w:val="18"/>
                </w:rPr>
                <w:t>VŠPS</w:t>
              </w:r>
            </w:hyperlink>
          </w:p>
        </w:tc>
        <w:tc>
          <w:tcPr>
            <w:tcW w:w="2291" w:type="dxa"/>
            <w:tcBorders>
              <w:top w:val="dotted" w:sz="4" w:space="0" w:color="auto"/>
              <w:left w:val="dotted" w:sz="4" w:space="0" w:color="auto"/>
              <w:bottom w:val="dotted" w:sz="4" w:space="0" w:color="auto"/>
              <w:right w:val="dotted" w:sz="4" w:space="0" w:color="auto"/>
            </w:tcBorders>
            <w:vAlign w:val="center"/>
          </w:tcPr>
          <w:p w:rsidR="00262278" w:rsidRPr="00025B12" w:rsidRDefault="00262278"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ÚIV+ČSÚ</w:t>
            </w:r>
          </w:p>
        </w:tc>
        <w:tc>
          <w:tcPr>
            <w:tcW w:w="2113" w:type="dxa"/>
            <w:tcBorders>
              <w:top w:val="dotted" w:sz="4" w:space="0" w:color="auto"/>
              <w:left w:val="dotted" w:sz="4" w:space="0" w:color="auto"/>
              <w:bottom w:val="dotted" w:sz="4" w:space="0" w:color="auto"/>
              <w:right w:val="dotted" w:sz="4" w:space="0" w:color="auto"/>
            </w:tcBorders>
            <w:vAlign w:val="center"/>
          </w:tcPr>
          <w:p w:rsidR="00262278" w:rsidRPr="00025B12" w:rsidRDefault="00262278"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94" w:type="dxa"/>
            <w:tcBorders>
              <w:top w:val="dotted" w:sz="4" w:space="0" w:color="auto"/>
              <w:left w:val="dotted" w:sz="4" w:space="0" w:color="auto"/>
              <w:bottom w:val="dotted" w:sz="4" w:space="0" w:color="auto"/>
            </w:tcBorders>
            <w:vAlign w:val="center"/>
          </w:tcPr>
          <w:p w:rsidR="00262278" w:rsidRPr="00025B12" w:rsidRDefault="00262278"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2006</w:t>
            </w:r>
          </w:p>
        </w:tc>
      </w:tr>
      <w:tr w:rsidR="00262278" w:rsidRPr="00025B12" w:rsidTr="00D131AA">
        <w:trPr>
          <w:trHeight w:val="360"/>
        </w:trPr>
        <w:tc>
          <w:tcPr>
            <w:tcW w:w="1448" w:type="dxa"/>
            <w:tcBorders>
              <w:top w:val="dotted" w:sz="4" w:space="0" w:color="auto"/>
              <w:right w:val="dotted" w:sz="4" w:space="0" w:color="auto"/>
            </w:tcBorders>
          </w:tcPr>
          <w:p w:rsidR="00262278" w:rsidRPr="00025B12" w:rsidRDefault="00262278"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42" w:type="dxa"/>
            <w:tcBorders>
              <w:top w:val="dotted" w:sz="4" w:space="0" w:color="auto"/>
              <w:left w:val="dotted" w:sz="4" w:space="0" w:color="auto"/>
              <w:right w:val="dotted" w:sz="4" w:space="0" w:color="auto"/>
            </w:tcBorders>
            <w:vAlign w:val="center"/>
          </w:tcPr>
          <w:p w:rsidR="00262278" w:rsidRPr="00025B12" w:rsidRDefault="00665F1D" w:rsidP="00D131AA">
            <w:pPr>
              <w:spacing w:after="0" w:line="240" w:lineRule="auto"/>
              <w:jc w:val="center"/>
              <w:rPr>
                <w:rFonts w:ascii="Verdana" w:eastAsiaTheme="minorHAnsi" w:hAnsi="Verdana" w:cstheme="minorBidi"/>
                <w:sz w:val="18"/>
                <w:szCs w:val="18"/>
              </w:rPr>
            </w:pPr>
            <w:hyperlink w:anchor="SET" w:history="1">
              <w:r w:rsidR="00262278" w:rsidRPr="00025B12">
                <w:rPr>
                  <w:rStyle w:val="Hypertextovodkaz"/>
                  <w:rFonts w:ascii="Verdana" w:eastAsiaTheme="minorHAnsi" w:hAnsi="Verdana" w:cstheme="minorBidi"/>
                  <w:sz w:val="18"/>
                  <w:szCs w:val="18"/>
                </w:rPr>
                <w:t>SET</w:t>
              </w:r>
            </w:hyperlink>
            <w:r w:rsidR="00262278" w:rsidRPr="00025B12">
              <w:rPr>
                <w:rFonts w:ascii="Verdana" w:eastAsiaTheme="minorHAnsi" w:hAnsi="Verdana" w:cstheme="minorBidi"/>
                <w:sz w:val="18"/>
                <w:szCs w:val="18"/>
              </w:rPr>
              <w:t>/</w:t>
            </w:r>
            <w:hyperlink w:anchor="Databáze_UIV" w:history="1">
              <w:r w:rsidR="00262278" w:rsidRPr="00025B12">
                <w:rPr>
                  <w:rStyle w:val="Hypertextovodkaz"/>
                  <w:rFonts w:ascii="Verdana" w:eastAsiaTheme="minorHAnsi" w:hAnsi="Verdana" w:cstheme="minorBidi"/>
                  <w:sz w:val="18"/>
                  <w:szCs w:val="18"/>
                </w:rPr>
                <w:t>Databáze ÚIV</w:t>
              </w:r>
            </w:hyperlink>
            <w:r w:rsidR="00262278" w:rsidRPr="00025B12">
              <w:rPr>
                <w:rFonts w:ascii="Verdana" w:eastAsiaTheme="minorHAnsi" w:hAnsi="Verdana" w:cstheme="minorBidi"/>
                <w:sz w:val="18"/>
                <w:szCs w:val="18"/>
              </w:rPr>
              <w:t>+</w:t>
            </w:r>
            <w:hyperlink w:anchor="VŠPS" w:history="1">
              <w:r w:rsidR="00262278" w:rsidRPr="00025B12">
                <w:rPr>
                  <w:rStyle w:val="Hypertextovodkaz"/>
                  <w:rFonts w:ascii="Verdana" w:eastAsiaTheme="minorHAnsi" w:hAnsi="Verdana" w:cstheme="minorBidi"/>
                  <w:sz w:val="18"/>
                  <w:szCs w:val="18"/>
                </w:rPr>
                <w:t>VŠPS</w:t>
              </w:r>
            </w:hyperlink>
          </w:p>
        </w:tc>
        <w:tc>
          <w:tcPr>
            <w:tcW w:w="2291" w:type="dxa"/>
            <w:tcBorders>
              <w:top w:val="dotted" w:sz="4" w:space="0" w:color="auto"/>
              <w:left w:val="dotted" w:sz="4" w:space="0" w:color="auto"/>
              <w:right w:val="dotted" w:sz="4" w:space="0" w:color="auto"/>
            </w:tcBorders>
            <w:vAlign w:val="center"/>
          </w:tcPr>
          <w:p w:rsidR="00262278" w:rsidRPr="00025B12" w:rsidRDefault="00262278"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ÚIV+ČSÚ</w:t>
            </w:r>
          </w:p>
        </w:tc>
        <w:tc>
          <w:tcPr>
            <w:tcW w:w="2113" w:type="dxa"/>
            <w:tcBorders>
              <w:top w:val="dotted" w:sz="4" w:space="0" w:color="auto"/>
              <w:left w:val="dotted" w:sz="4" w:space="0" w:color="auto"/>
              <w:right w:val="dotted" w:sz="4" w:space="0" w:color="auto"/>
            </w:tcBorders>
            <w:vAlign w:val="center"/>
          </w:tcPr>
          <w:p w:rsidR="00262278" w:rsidRPr="00025B12" w:rsidRDefault="00262278"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94" w:type="dxa"/>
            <w:tcBorders>
              <w:top w:val="dotted" w:sz="4" w:space="0" w:color="auto"/>
              <w:left w:val="dotted" w:sz="4" w:space="0" w:color="auto"/>
            </w:tcBorders>
            <w:vAlign w:val="center"/>
          </w:tcPr>
          <w:p w:rsidR="00262278" w:rsidRPr="00025B12" w:rsidRDefault="00262278"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2006</w:t>
            </w:r>
          </w:p>
        </w:tc>
      </w:tr>
      <w:tr w:rsidR="00262278" w:rsidRPr="00025B12" w:rsidTr="00D131AA">
        <w:trPr>
          <w:trHeight w:val="274"/>
        </w:trPr>
        <w:tc>
          <w:tcPr>
            <w:tcW w:w="7494" w:type="dxa"/>
            <w:gridSpan w:val="4"/>
            <w:shd w:val="clear" w:color="auto" w:fill="663399"/>
          </w:tcPr>
          <w:p w:rsidR="00262278" w:rsidRPr="00025B12" w:rsidRDefault="00262278" w:rsidP="00D131AA">
            <w:pPr>
              <w:spacing w:after="0" w:line="240" w:lineRule="auto"/>
              <w:jc w:val="center"/>
              <w:rPr>
                <w:rFonts w:ascii="Verdana" w:eastAsiaTheme="minorHAnsi" w:hAnsi="Verdana" w:cstheme="minorBidi"/>
                <w:sz w:val="18"/>
                <w:szCs w:val="18"/>
              </w:rPr>
            </w:pPr>
          </w:p>
        </w:tc>
        <w:tc>
          <w:tcPr>
            <w:tcW w:w="1794" w:type="dxa"/>
            <w:shd w:val="clear" w:color="auto" w:fill="663399"/>
          </w:tcPr>
          <w:p w:rsidR="00262278" w:rsidRPr="00025B12" w:rsidRDefault="00262278" w:rsidP="00D131AA">
            <w:pPr>
              <w:spacing w:after="0" w:line="240" w:lineRule="auto"/>
              <w:jc w:val="center"/>
              <w:rPr>
                <w:rFonts w:ascii="Verdana" w:eastAsiaTheme="minorHAnsi" w:hAnsi="Verdana" w:cstheme="minorBidi"/>
                <w:sz w:val="18"/>
                <w:szCs w:val="18"/>
              </w:rPr>
            </w:pPr>
          </w:p>
        </w:tc>
      </w:tr>
      <w:tr w:rsidR="00262278" w:rsidRPr="00025B12" w:rsidTr="00D131AA">
        <w:trPr>
          <w:trHeight w:val="1319"/>
        </w:trPr>
        <w:tc>
          <w:tcPr>
            <w:tcW w:w="9288" w:type="dxa"/>
            <w:gridSpan w:val="5"/>
          </w:tcPr>
          <w:p w:rsidR="00262278" w:rsidRPr="00025B12" w:rsidRDefault="00262278"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262278" w:rsidRPr="00025B12" w:rsidRDefault="00262278" w:rsidP="00E26E2D">
            <w:pPr>
              <w:jc w:val="both"/>
              <w:rPr>
                <w:rFonts w:ascii="Verdana" w:hAnsi="Verdana"/>
                <w:sz w:val="18"/>
                <w:szCs w:val="18"/>
              </w:rPr>
            </w:pPr>
            <w:r w:rsidRPr="00025B12">
              <w:rPr>
                <w:rFonts w:ascii="Verdana" w:hAnsi="Verdana"/>
                <w:sz w:val="18"/>
                <w:szCs w:val="18"/>
              </w:rPr>
              <w:t>Cílem indikátoru je postihnout, jaká je nabídka dalšího formálního vzdělání ve formách, které jsou vhodné pro vzdělávání dospělých, tedy v jiných než denních, popř. prezenčních formách. Aby bylo možno vyhodnotit, nakolik je kapacita oborů dostatečná, je nabídka vztažena ke struktuře zaměstnanosti, tedy na kolik zaměstnaných s příslušným vzděláním je k dispozici jedn</w:t>
            </w:r>
            <w:r w:rsidR="00E26E2D" w:rsidRPr="00025B12">
              <w:rPr>
                <w:rFonts w:ascii="Verdana" w:hAnsi="Verdana"/>
                <w:sz w:val="18"/>
                <w:szCs w:val="18"/>
              </w:rPr>
              <w:t>o</w:t>
            </w:r>
            <w:r w:rsidRPr="00025B12">
              <w:rPr>
                <w:rFonts w:ascii="Verdana" w:hAnsi="Verdana"/>
                <w:sz w:val="18"/>
                <w:szCs w:val="18"/>
              </w:rPr>
              <w:t xml:space="preserve"> místo ve vzděláv</w:t>
            </w:r>
            <w:r w:rsidR="00E26E2D" w:rsidRPr="00025B12">
              <w:rPr>
                <w:rFonts w:ascii="Verdana" w:hAnsi="Verdana"/>
                <w:sz w:val="18"/>
                <w:szCs w:val="18"/>
              </w:rPr>
              <w:t xml:space="preserve">acím </w:t>
            </w:r>
            <w:r w:rsidRPr="00025B12">
              <w:rPr>
                <w:rFonts w:ascii="Verdana" w:hAnsi="Verdana"/>
                <w:sz w:val="18"/>
                <w:szCs w:val="18"/>
              </w:rPr>
              <w:t>programu pro dospělé.</w:t>
            </w:r>
          </w:p>
        </w:tc>
      </w:tr>
      <w:tr w:rsidR="00262278" w:rsidRPr="00025B12" w:rsidTr="00D131AA">
        <w:trPr>
          <w:trHeight w:val="992"/>
        </w:trPr>
        <w:tc>
          <w:tcPr>
            <w:tcW w:w="9288" w:type="dxa"/>
            <w:gridSpan w:val="5"/>
          </w:tcPr>
          <w:p w:rsidR="00262278" w:rsidRPr="00025B12" w:rsidRDefault="00262278"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392EBC" w:rsidRPr="00025B12" w:rsidRDefault="00262278" w:rsidP="00D131AA">
            <w:pPr>
              <w:jc w:val="both"/>
              <w:rPr>
                <w:rFonts w:ascii="Verdana" w:hAnsi="Verdana"/>
                <w:sz w:val="18"/>
                <w:szCs w:val="18"/>
              </w:rPr>
            </w:pPr>
            <w:r w:rsidRPr="00025B12">
              <w:rPr>
                <w:rFonts w:ascii="Verdana" w:hAnsi="Verdana"/>
                <w:sz w:val="18"/>
                <w:szCs w:val="18"/>
              </w:rPr>
              <w:t>Indikátor vychází z kapacity oborů formálního vzdělávání v</w:t>
            </w:r>
            <w:r w:rsidR="00AB53D6" w:rsidRPr="00025B12">
              <w:rPr>
                <w:rFonts w:ascii="Verdana" w:hAnsi="Verdana"/>
                <w:sz w:val="18"/>
                <w:szCs w:val="18"/>
              </w:rPr>
              <w:t> jiných než prezenčních formách. Sečteny jsou všechny formy vzdělávání s výjimkou denních a prezenčních – tj. Dálkové, večerní, distanční a kombinované formy (v závislosti na stupni vzdělávání a typu školy se tyto formy liší, u všech je ale základním východiskem, že nějakým způsobem umožňují kombinovat studium s pracovním či rodinným životem a jsou tak otevřené pro formální vzdělávání dospělých).</w:t>
            </w:r>
          </w:p>
          <w:p w:rsidR="00392EBC" w:rsidRPr="00025B12" w:rsidRDefault="00392EBC" w:rsidP="00D131AA">
            <w:pPr>
              <w:jc w:val="both"/>
              <w:rPr>
                <w:rFonts w:ascii="Verdana" w:hAnsi="Verdana"/>
                <w:sz w:val="18"/>
                <w:szCs w:val="18"/>
              </w:rPr>
            </w:pPr>
            <w:r w:rsidRPr="00025B12">
              <w:rPr>
                <w:rFonts w:ascii="Verdana" w:hAnsi="Verdana"/>
                <w:sz w:val="18"/>
                <w:szCs w:val="18"/>
              </w:rPr>
              <w:t>Pro střední školy je k dispozici i</w:t>
            </w:r>
            <w:r w:rsidR="00926742" w:rsidRPr="00025B12">
              <w:rPr>
                <w:rFonts w:ascii="Verdana" w:hAnsi="Verdana"/>
                <w:sz w:val="18"/>
                <w:szCs w:val="18"/>
              </w:rPr>
              <w:t>nformace o kapacitě jako takové.</w:t>
            </w:r>
            <w:r w:rsidRPr="00025B12">
              <w:rPr>
                <w:rFonts w:ascii="Verdana" w:hAnsi="Verdana"/>
                <w:sz w:val="18"/>
                <w:szCs w:val="18"/>
              </w:rPr>
              <w:t xml:space="preserve"> Pro vysoké školy jsou údaje přebírány ze statistik o přijímacím řízení. Za měřítko kapacity je považován počet přijatých studentů do distanční či kombinované formy bez ohledu na to, zda se na školu skutečně zapsali.</w:t>
            </w:r>
          </w:p>
          <w:p w:rsidR="00262278" w:rsidRPr="00025B12" w:rsidRDefault="00262278" w:rsidP="00D131AA">
            <w:pPr>
              <w:jc w:val="both"/>
              <w:rPr>
                <w:rFonts w:ascii="Verdana" w:hAnsi="Verdana"/>
                <w:sz w:val="18"/>
                <w:szCs w:val="18"/>
              </w:rPr>
            </w:pPr>
            <w:r w:rsidRPr="00025B12">
              <w:rPr>
                <w:rFonts w:ascii="Verdana" w:hAnsi="Verdana"/>
                <w:sz w:val="18"/>
                <w:szCs w:val="18"/>
              </w:rPr>
              <w:t xml:space="preserve">Tato kapacita je vydělena počtem lidí, kteří mají příslušné vzdělání a jsou zaměstnaní. Protože každý zdroj informací používá jinou klasifikaci vzdělání, je při výpočtu podílů využito odhadů na základě pracovního převodníku ÚIV mezi KKOV a ISCED. </w:t>
            </w:r>
          </w:p>
        </w:tc>
      </w:tr>
      <w:tr w:rsidR="00262278" w:rsidRPr="00025B12" w:rsidTr="00D131AA">
        <w:trPr>
          <w:trHeight w:val="1053"/>
        </w:trPr>
        <w:tc>
          <w:tcPr>
            <w:tcW w:w="9288" w:type="dxa"/>
            <w:gridSpan w:val="5"/>
          </w:tcPr>
          <w:p w:rsidR="00262278" w:rsidRPr="00025B12" w:rsidRDefault="00262278"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262278" w:rsidRPr="00025B12" w:rsidRDefault="00262278" w:rsidP="00D131AA">
            <w:pPr>
              <w:jc w:val="both"/>
              <w:rPr>
                <w:rFonts w:ascii="Verdana" w:hAnsi="Verdana"/>
                <w:sz w:val="18"/>
                <w:szCs w:val="18"/>
              </w:rPr>
            </w:pPr>
            <w:r w:rsidRPr="00025B12">
              <w:rPr>
                <w:rFonts w:ascii="Verdana" w:hAnsi="Verdana"/>
                <w:sz w:val="18"/>
                <w:szCs w:val="18"/>
              </w:rPr>
              <w:t>Data pro střední školy je možné získávat z databáze SET provozované ÚIV. Získávání informací z webové stránky je však příliš náročné, bylo by vhodné zajistit pro monitoring přístup ke zdrojovým datům.</w:t>
            </w:r>
          </w:p>
          <w:p w:rsidR="00392EBC" w:rsidRPr="00025B12" w:rsidRDefault="00262278" w:rsidP="00392EBC">
            <w:pPr>
              <w:jc w:val="both"/>
              <w:rPr>
                <w:rFonts w:ascii="Verdana" w:hAnsi="Verdana"/>
                <w:sz w:val="18"/>
                <w:szCs w:val="18"/>
              </w:rPr>
            </w:pPr>
            <w:r w:rsidRPr="00025B12">
              <w:rPr>
                <w:rFonts w:ascii="Verdana" w:hAnsi="Verdana"/>
                <w:sz w:val="18"/>
                <w:szCs w:val="18"/>
              </w:rPr>
              <w:t>Pro vysoké školy jsou údaje přebírány ze statistik o přijímacím řízení</w:t>
            </w:r>
            <w:r w:rsidR="00392EBC" w:rsidRPr="00025B12">
              <w:rPr>
                <w:rFonts w:ascii="Verdana" w:hAnsi="Verdana"/>
                <w:sz w:val="18"/>
                <w:szCs w:val="18"/>
              </w:rPr>
              <w:t xml:space="preserve"> z ročenky školství vydávané ÚIV. K dispozici je však pouze hrubé členění oborů a bez krajského členění. Bylo by třeba využít přímo zdrojová data</w:t>
            </w:r>
            <w:r w:rsidRPr="00025B12">
              <w:rPr>
                <w:rFonts w:ascii="Verdana" w:hAnsi="Verdana"/>
                <w:sz w:val="18"/>
                <w:szCs w:val="18"/>
              </w:rPr>
              <w:t>.</w:t>
            </w:r>
            <w:r w:rsidR="00392EBC" w:rsidRPr="00025B12">
              <w:rPr>
                <w:rFonts w:ascii="Verdana" w:hAnsi="Verdana"/>
                <w:sz w:val="18"/>
                <w:szCs w:val="18"/>
              </w:rPr>
              <w:t xml:space="preserve"> </w:t>
            </w:r>
          </w:p>
          <w:p w:rsidR="00262278" w:rsidRPr="00025B12" w:rsidRDefault="00262278" w:rsidP="00392EBC">
            <w:pPr>
              <w:jc w:val="both"/>
              <w:rPr>
                <w:rFonts w:ascii="Verdana" w:hAnsi="Verdana"/>
                <w:sz w:val="18"/>
                <w:szCs w:val="18"/>
              </w:rPr>
            </w:pPr>
            <w:r w:rsidRPr="00025B12">
              <w:rPr>
                <w:rFonts w:ascii="Verdana" w:hAnsi="Verdana"/>
                <w:sz w:val="18"/>
                <w:szCs w:val="18"/>
              </w:rPr>
              <w:t>Data pro počet zaměstnaných pocházejí z VŠPS, je nutné používat mikrodatový soubor.</w:t>
            </w:r>
          </w:p>
        </w:tc>
      </w:tr>
      <w:tr w:rsidR="00262278" w:rsidRPr="00025B12" w:rsidTr="00D131AA">
        <w:trPr>
          <w:trHeight w:val="837"/>
        </w:trPr>
        <w:tc>
          <w:tcPr>
            <w:tcW w:w="9288" w:type="dxa"/>
            <w:gridSpan w:val="5"/>
          </w:tcPr>
          <w:p w:rsidR="00262278" w:rsidRPr="00025B12" w:rsidRDefault="00262278"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262278" w:rsidRPr="00025B12" w:rsidRDefault="00262278" w:rsidP="00DE03BF">
            <w:pPr>
              <w:jc w:val="both"/>
              <w:rPr>
                <w:rFonts w:ascii="Verdana" w:hAnsi="Verdana"/>
                <w:sz w:val="18"/>
                <w:szCs w:val="18"/>
              </w:rPr>
            </w:pPr>
            <w:r w:rsidRPr="00025B12">
              <w:rPr>
                <w:rFonts w:ascii="Verdana" w:hAnsi="Verdana"/>
                <w:sz w:val="18"/>
                <w:szCs w:val="18"/>
              </w:rPr>
              <w:t xml:space="preserve">Lepší varianta indikátoru by vztahovala kapacitu vzdělávacích programů k počtu zaměstnaných, kteří toto vzdělání potřebují, ale nemají jej. Na získání takovýchto dat je však třeba metodicky dále pracovat. </w:t>
            </w:r>
          </w:p>
        </w:tc>
      </w:tr>
    </w:tbl>
    <w:p w:rsidR="00262278" w:rsidRPr="00025B12" w:rsidRDefault="00262278" w:rsidP="000C6631">
      <w:pPr>
        <w:jc w:val="both"/>
        <w:outlineLvl w:val="0"/>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1642"/>
        <w:gridCol w:w="2291"/>
        <w:gridCol w:w="2113"/>
        <w:gridCol w:w="1794"/>
      </w:tblGrid>
      <w:tr w:rsidR="00E8213D" w:rsidRPr="00025B12" w:rsidTr="00E8213D">
        <w:trPr>
          <w:trHeight w:val="425"/>
        </w:trPr>
        <w:tc>
          <w:tcPr>
            <w:tcW w:w="1448" w:type="dxa"/>
            <w:tcBorders>
              <w:bottom w:val="single" w:sz="4" w:space="0" w:color="auto"/>
              <w:right w:val="single" w:sz="4" w:space="0" w:color="auto"/>
            </w:tcBorders>
            <w:shd w:val="clear" w:color="auto" w:fill="663399"/>
            <w:vAlign w:val="center"/>
          </w:tcPr>
          <w:p w:rsidR="00E8213D" w:rsidRPr="00025B12" w:rsidRDefault="00E8213D" w:rsidP="00E8213D">
            <w:pPr>
              <w:pStyle w:val="Kd"/>
              <w:rPr>
                <w:sz w:val="18"/>
                <w:szCs w:val="18"/>
              </w:rPr>
            </w:pPr>
            <w:r w:rsidRPr="00025B12">
              <w:rPr>
                <w:sz w:val="18"/>
                <w:szCs w:val="18"/>
              </w:rPr>
              <w:lastRenderedPageBreak/>
              <w:br w:type="page"/>
            </w:r>
            <w:r w:rsidRPr="00025B12">
              <w:rPr>
                <w:sz w:val="18"/>
                <w:szCs w:val="18"/>
              </w:rPr>
              <w:br w:type="page"/>
            </w:r>
            <w:bookmarkStart w:id="94" w:name="III11"/>
            <w:r w:rsidRPr="00025B12">
              <w:rPr>
                <w:sz w:val="18"/>
                <w:szCs w:val="18"/>
              </w:rPr>
              <w:t>III.1.</w:t>
            </w:r>
            <w:r w:rsidR="00741F81" w:rsidRPr="00025B12">
              <w:rPr>
                <w:sz w:val="18"/>
                <w:szCs w:val="18"/>
              </w:rPr>
              <w:t>d</w:t>
            </w:r>
            <w:r w:rsidRPr="00025B12">
              <w:rPr>
                <w:sz w:val="18"/>
                <w:szCs w:val="18"/>
              </w:rPr>
              <w:t>1</w:t>
            </w:r>
            <w:bookmarkEnd w:id="94"/>
          </w:p>
        </w:tc>
        <w:tc>
          <w:tcPr>
            <w:tcW w:w="7840" w:type="dxa"/>
            <w:gridSpan w:val="4"/>
            <w:vMerge w:val="restart"/>
            <w:tcBorders>
              <w:top w:val="single" w:sz="4" w:space="0" w:color="auto"/>
              <w:left w:val="single" w:sz="4" w:space="0" w:color="auto"/>
              <w:right w:val="single" w:sz="4" w:space="0" w:color="auto"/>
            </w:tcBorders>
            <w:shd w:val="clear" w:color="auto" w:fill="663399"/>
            <w:vAlign w:val="center"/>
          </w:tcPr>
          <w:p w:rsidR="00E8213D" w:rsidRPr="00025B12" w:rsidRDefault="00E8213D" w:rsidP="00E8213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Počet škol a kapacita programů nabízející</w:t>
            </w:r>
            <w:r w:rsidR="00875462" w:rsidRPr="00025B12">
              <w:rPr>
                <w:rFonts w:ascii="Verdana" w:eastAsiaTheme="minorHAnsi" w:hAnsi="Verdana" w:cstheme="minorBidi"/>
                <w:b/>
                <w:color w:val="FFFFFF" w:themeColor="background1"/>
              </w:rPr>
              <w:t>ch</w:t>
            </w:r>
            <w:r w:rsidRPr="00025B12">
              <w:rPr>
                <w:rFonts w:ascii="Verdana" w:eastAsiaTheme="minorHAnsi" w:hAnsi="Verdana" w:cstheme="minorBidi"/>
                <w:b/>
                <w:color w:val="FFFFFF" w:themeColor="background1"/>
              </w:rPr>
              <w:t xml:space="preserve"> vzdělá</w:t>
            </w:r>
            <w:r w:rsidR="00875462" w:rsidRPr="00025B12">
              <w:rPr>
                <w:rFonts w:ascii="Verdana" w:eastAsiaTheme="minorHAnsi" w:hAnsi="Verdana" w:cstheme="minorBidi"/>
                <w:b/>
                <w:color w:val="FFFFFF" w:themeColor="background1"/>
              </w:rPr>
              <w:t>vá</w:t>
            </w:r>
            <w:r w:rsidRPr="00025B12">
              <w:rPr>
                <w:rFonts w:ascii="Verdana" w:eastAsiaTheme="minorHAnsi" w:hAnsi="Verdana" w:cstheme="minorBidi"/>
                <w:b/>
                <w:color w:val="FFFFFF" w:themeColor="background1"/>
              </w:rPr>
              <w:t>ní v jiné než denní formě</w:t>
            </w:r>
          </w:p>
        </w:tc>
      </w:tr>
      <w:tr w:rsidR="00A20048" w:rsidRPr="00025B12" w:rsidTr="00E8213D">
        <w:trPr>
          <w:trHeight w:val="360"/>
        </w:trPr>
        <w:tc>
          <w:tcPr>
            <w:tcW w:w="1448" w:type="dxa"/>
            <w:tcBorders>
              <w:top w:val="single" w:sz="4" w:space="0" w:color="auto"/>
              <w:bottom w:val="single" w:sz="4" w:space="0" w:color="auto"/>
              <w:right w:val="single" w:sz="4" w:space="0" w:color="auto"/>
            </w:tcBorders>
            <w:shd w:val="clear" w:color="auto" w:fill="663399"/>
            <w:vAlign w:val="center"/>
          </w:tcPr>
          <w:p w:rsidR="00A20048" w:rsidRPr="00025B12" w:rsidRDefault="00A20048" w:rsidP="00A20048">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40" w:type="dxa"/>
            <w:gridSpan w:val="4"/>
            <w:vMerge/>
            <w:tcBorders>
              <w:left w:val="single" w:sz="4" w:space="0" w:color="auto"/>
              <w:bottom w:val="single" w:sz="4" w:space="0" w:color="auto"/>
              <w:right w:val="single" w:sz="4" w:space="0" w:color="auto"/>
            </w:tcBorders>
            <w:vAlign w:val="center"/>
          </w:tcPr>
          <w:p w:rsidR="00A20048" w:rsidRPr="00025B12" w:rsidRDefault="00A20048" w:rsidP="00E8213D">
            <w:pPr>
              <w:spacing w:after="0" w:line="240" w:lineRule="auto"/>
              <w:jc w:val="center"/>
              <w:rPr>
                <w:rFonts w:ascii="Verdana" w:eastAsiaTheme="minorHAnsi" w:hAnsi="Verdana" w:cstheme="minorBidi"/>
                <w:sz w:val="18"/>
                <w:szCs w:val="18"/>
              </w:rPr>
            </w:pPr>
          </w:p>
        </w:tc>
      </w:tr>
      <w:tr w:rsidR="00E8213D" w:rsidRPr="00025B12" w:rsidTr="00296FE3">
        <w:trPr>
          <w:trHeight w:val="360"/>
        </w:trPr>
        <w:tc>
          <w:tcPr>
            <w:tcW w:w="1448" w:type="dxa"/>
            <w:tcBorders>
              <w:top w:val="single" w:sz="4" w:space="0" w:color="auto"/>
              <w:bottom w:val="dotted" w:sz="4" w:space="0" w:color="auto"/>
              <w:right w:val="dotted" w:sz="4" w:space="0" w:color="auto"/>
            </w:tcBorders>
          </w:tcPr>
          <w:p w:rsidR="00E8213D" w:rsidRPr="00025B12" w:rsidRDefault="00E8213D" w:rsidP="00E8213D">
            <w:pPr>
              <w:spacing w:after="0" w:line="240" w:lineRule="auto"/>
              <w:jc w:val="center"/>
              <w:rPr>
                <w:rFonts w:ascii="Verdana" w:eastAsiaTheme="minorHAnsi" w:hAnsi="Verdana" w:cstheme="minorBidi"/>
                <w:sz w:val="18"/>
                <w:szCs w:val="18"/>
              </w:rPr>
            </w:pPr>
          </w:p>
        </w:tc>
        <w:tc>
          <w:tcPr>
            <w:tcW w:w="1642" w:type="dxa"/>
            <w:tcBorders>
              <w:top w:val="single" w:sz="4" w:space="0" w:color="auto"/>
              <w:left w:val="dotted" w:sz="4" w:space="0" w:color="auto"/>
              <w:bottom w:val="dotted" w:sz="4" w:space="0" w:color="auto"/>
              <w:right w:val="dotted" w:sz="4" w:space="0" w:color="auto"/>
            </w:tcBorders>
            <w:vAlign w:val="center"/>
          </w:tcPr>
          <w:p w:rsidR="00E8213D" w:rsidRPr="00025B12" w:rsidRDefault="00E8213D" w:rsidP="00E8213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91" w:type="dxa"/>
            <w:tcBorders>
              <w:top w:val="single" w:sz="4" w:space="0" w:color="auto"/>
              <w:left w:val="dotted" w:sz="4" w:space="0" w:color="auto"/>
              <w:bottom w:val="dotted" w:sz="4" w:space="0" w:color="auto"/>
              <w:right w:val="dotted" w:sz="4" w:space="0" w:color="auto"/>
            </w:tcBorders>
            <w:vAlign w:val="center"/>
          </w:tcPr>
          <w:p w:rsidR="00E8213D" w:rsidRPr="00025B12" w:rsidRDefault="00E8213D" w:rsidP="00E8213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3" w:type="dxa"/>
            <w:tcBorders>
              <w:top w:val="single" w:sz="4" w:space="0" w:color="auto"/>
              <w:left w:val="dotted" w:sz="4" w:space="0" w:color="auto"/>
              <w:bottom w:val="dotted" w:sz="4" w:space="0" w:color="auto"/>
              <w:right w:val="dotted" w:sz="4" w:space="0" w:color="auto"/>
            </w:tcBorders>
            <w:vAlign w:val="center"/>
          </w:tcPr>
          <w:p w:rsidR="00E8213D" w:rsidRPr="00025B12" w:rsidRDefault="00E8213D" w:rsidP="00E8213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94" w:type="dxa"/>
            <w:tcBorders>
              <w:top w:val="single" w:sz="4" w:space="0" w:color="auto"/>
              <w:left w:val="dotted" w:sz="4" w:space="0" w:color="auto"/>
              <w:bottom w:val="dotted" w:sz="4" w:space="0" w:color="auto"/>
            </w:tcBorders>
            <w:vAlign w:val="center"/>
          </w:tcPr>
          <w:p w:rsidR="00E8213D" w:rsidRPr="00025B12" w:rsidRDefault="00E8213D"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E8213D" w:rsidRPr="00025B12" w:rsidTr="00E8213D">
        <w:trPr>
          <w:trHeight w:val="360"/>
        </w:trPr>
        <w:tc>
          <w:tcPr>
            <w:tcW w:w="1448" w:type="dxa"/>
            <w:tcBorders>
              <w:top w:val="dotted" w:sz="4" w:space="0" w:color="auto"/>
              <w:bottom w:val="dotted" w:sz="4" w:space="0" w:color="auto"/>
              <w:right w:val="dotted" w:sz="4" w:space="0" w:color="auto"/>
            </w:tcBorders>
          </w:tcPr>
          <w:p w:rsidR="00E8213D" w:rsidRPr="00025B12" w:rsidRDefault="00E8213D" w:rsidP="00E8213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42" w:type="dxa"/>
            <w:tcBorders>
              <w:top w:val="dotted" w:sz="4" w:space="0" w:color="auto"/>
              <w:left w:val="dotted" w:sz="4" w:space="0" w:color="auto"/>
              <w:bottom w:val="dotted" w:sz="4" w:space="0" w:color="auto"/>
              <w:right w:val="dotted" w:sz="4" w:space="0" w:color="auto"/>
            </w:tcBorders>
            <w:vAlign w:val="center"/>
          </w:tcPr>
          <w:p w:rsidR="00E8213D" w:rsidRPr="00025B12" w:rsidRDefault="00E8213D" w:rsidP="00E8213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91" w:type="dxa"/>
            <w:tcBorders>
              <w:top w:val="dotted" w:sz="4" w:space="0" w:color="auto"/>
              <w:left w:val="dotted" w:sz="4" w:space="0" w:color="auto"/>
              <w:bottom w:val="dotted" w:sz="4" w:space="0" w:color="auto"/>
              <w:right w:val="dotted" w:sz="4" w:space="0" w:color="auto"/>
            </w:tcBorders>
            <w:vAlign w:val="center"/>
          </w:tcPr>
          <w:p w:rsidR="00E8213D" w:rsidRPr="00025B12" w:rsidRDefault="00E8213D" w:rsidP="00E8213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bottom w:val="dotted" w:sz="4" w:space="0" w:color="auto"/>
              <w:right w:val="dotted" w:sz="4" w:space="0" w:color="auto"/>
            </w:tcBorders>
            <w:vAlign w:val="center"/>
          </w:tcPr>
          <w:p w:rsidR="00E8213D" w:rsidRPr="00025B12" w:rsidRDefault="00E8213D" w:rsidP="00E8213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94" w:type="dxa"/>
            <w:tcBorders>
              <w:top w:val="dotted" w:sz="4" w:space="0" w:color="auto"/>
              <w:left w:val="dotted" w:sz="4" w:space="0" w:color="auto"/>
              <w:bottom w:val="dotted" w:sz="4" w:space="0" w:color="auto"/>
            </w:tcBorders>
            <w:vAlign w:val="center"/>
          </w:tcPr>
          <w:p w:rsidR="00E8213D" w:rsidRPr="00025B12" w:rsidRDefault="00E8213D" w:rsidP="00E8213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E8213D" w:rsidRPr="00025B12" w:rsidTr="00E8213D">
        <w:trPr>
          <w:trHeight w:val="360"/>
        </w:trPr>
        <w:tc>
          <w:tcPr>
            <w:tcW w:w="1448" w:type="dxa"/>
            <w:tcBorders>
              <w:top w:val="dotted" w:sz="4" w:space="0" w:color="auto"/>
              <w:bottom w:val="dotted" w:sz="4" w:space="0" w:color="auto"/>
              <w:right w:val="dotted" w:sz="4" w:space="0" w:color="auto"/>
            </w:tcBorders>
          </w:tcPr>
          <w:p w:rsidR="00E8213D" w:rsidRPr="00025B12" w:rsidRDefault="00E8213D" w:rsidP="00E8213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42" w:type="dxa"/>
            <w:tcBorders>
              <w:top w:val="dotted" w:sz="4" w:space="0" w:color="auto"/>
              <w:left w:val="dotted" w:sz="4" w:space="0" w:color="auto"/>
              <w:bottom w:val="dotted" w:sz="4" w:space="0" w:color="auto"/>
              <w:right w:val="dotted" w:sz="4" w:space="0" w:color="auto"/>
            </w:tcBorders>
            <w:vAlign w:val="center"/>
          </w:tcPr>
          <w:p w:rsidR="00E8213D" w:rsidRPr="00025B12" w:rsidRDefault="00665F1D" w:rsidP="00160234">
            <w:pPr>
              <w:spacing w:after="0" w:line="240" w:lineRule="auto"/>
              <w:jc w:val="center"/>
              <w:rPr>
                <w:rFonts w:ascii="Verdana" w:eastAsiaTheme="minorHAnsi" w:hAnsi="Verdana" w:cstheme="minorBidi"/>
                <w:sz w:val="18"/>
                <w:szCs w:val="18"/>
              </w:rPr>
            </w:pPr>
            <w:hyperlink w:anchor="SET" w:history="1">
              <w:r w:rsidR="00776544" w:rsidRPr="00025B12">
                <w:rPr>
                  <w:rStyle w:val="Hypertextovodkaz"/>
                  <w:rFonts w:ascii="Verdana" w:eastAsiaTheme="minorHAnsi" w:hAnsi="Verdana" w:cstheme="minorBidi"/>
                  <w:sz w:val="18"/>
                  <w:szCs w:val="18"/>
                </w:rPr>
                <w:t>SET</w:t>
              </w:r>
            </w:hyperlink>
            <w:r w:rsidR="00776544" w:rsidRPr="00025B12">
              <w:rPr>
                <w:rFonts w:ascii="Verdana" w:eastAsiaTheme="minorHAnsi" w:hAnsi="Verdana" w:cstheme="minorBidi"/>
                <w:sz w:val="18"/>
                <w:szCs w:val="18"/>
              </w:rPr>
              <w:t>/</w:t>
            </w:r>
            <w:hyperlink w:anchor="Databáze_UIV" w:history="1">
              <w:r w:rsidR="00160234" w:rsidRPr="00025B12">
                <w:rPr>
                  <w:rStyle w:val="Hypertextovodkaz"/>
                  <w:rFonts w:ascii="Verdana" w:eastAsiaTheme="minorHAnsi" w:hAnsi="Verdana" w:cstheme="minorBidi"/>
                  <w:sz w:val="18"/>
                  <w:szCs w:val="18"/>
                </w:rPr>
                <w:t>Databáze ÚIV</w:t>
              </w:r>
            </w:hyperlink>
          </w:p>
        </w:tc>
        <w:tc>
          <w:tcPr>
            <w:tcW w:w="2291" w:type="dxa"/>
            <w:tcBorders>
              <w:top w:val="dotted" w:sz="4" w:space="0" w:color="auto"/>
              <w:left w:val="dotted" w:sz="4" w:space="0" w:color="auto"/>
              <w:bottom w:val="dotted" w:sz="4" w:space="0" w:color="auto"/>
              <w:right w:val="dotted" w:sz="4" w:space="0" w:color="auto"/>
            </w:tcBorders>
            <w:vAlign w:val="center"/>
          </w:tcPr>
          <w:p w:rsidR="00E8213D" w:rsidRPr="00025B12" w:rsidRDefault="00776544" w:rsidP="00E8213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ÚIV</w:t>
            </w:r>
          </w:p>
        </w:tc>
        <w:tc>
          <w:tcPr>
            <w:tcW w:w="2113" w:type="dxa"/>
            <w:tcBorders>
              <w:top w:val="dotted" w:sz="4" w:space="0" w:color="auto"/>
              <w:left w:val="dotted" w:sz="4" w:space="0" w:color="auto"/>
              <w:bottom w:val="dotted" w:sz="4" w:space="0" w:color="auto"/>
              <w:right w:val="dotted" w:sz="4" w:space="0" w:color="auto"/>
            </w:tcBorders>
            <w:vAlign w:val="center"/>
          </w:tcPr>
          <w:p w:rsidR="00E8213D" w:rsidRPr="00025B12" w:rsidRDefault="00776544" w:rsidP="0077654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94" w:type="dxa"/>
            <w:tcBorders>
              <w:top w:val="dotted" w:sz="4" w:space="0" w:color="auto"/>
              <w:left w:val="dotted" w:sz="4" w:space="0" w:color="auto"/>
              <w:bottom w:val="dotted" w:sz="4" w:space="0" w:color="auto"/>
            </w:tcBorders>
            <w:vAlign w:val="center"/>
          </w:tcPr>
          <w:p w:rsidR="00E8213D" w:rsidRPr="00025B12" w:rsidRDefault="00776544" w:rsidP="00E8213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2006</w:t>
            </w:r>
          </w:p>
        </w:tc>
      </w:tr>
      <w:tr w:rsidR="00776544" w:rsidRPr="00025B12" w:rsidTr="00E8213D">
        <w:trPr>
          <w:trHeight w:val="360"/>
        </w:trPr>
        <w:tc>
          <w:tcPr>
            <w:tcW w:w="1448" w:type="dxa"/>
            <w:tcBorders>
              <w:top w:val="dotted" w:sz="4" w:space="0" w:color="auto"/>
              <w:right w:val="dotted" w:sz="4" w:space="0" w:color="auto"/>
            </w:tcBorders>
          </w:tcPr>
          <w:p w:rsidR="00776544" w:rsidRPr="00025B12" w:rsidRDefault="00776544" w:rsidP="00E8213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42" w:type="dxa"/>
            <w:tcBorders>
              <w:top w:val="dotted" w:sz="4" w:space="0" w:color="auto"/>
              <w:left w:val="dotted" w:sz="4" w:space="0" w:color="auto"/>
              <w:right w:val="dotted" w:sz="4" w:space="0" w:color="auto"/>
            </w:tcBorders>
            <w:vAlign w:val="center"/>
          </w:tcPr>
          <w:p w:rsidR="00776544" w:rsidRPr="00025B12" w:rsidRDefault="00665F1D" w:rsidP="00160234">
            <w:pPr>
              <w:spacing w:after="0" w:line="240" w:lineRule="auto"/>
              <w:jc w:val="center"/>
              <w:rPr>
                <w:rFonts w:ascii="Verdana" w:eastAsiaTheme="minorHAnsi" w:hAnsi="Verdana" w:cstheme="minorBidi"/>
                <w:sz w:val="18"/>
                <w:szCs w:val="18"/>
              </w:rPr>
            </w:pPr>
            <w:hyperlink w:anchor="SET" w:history="1">
              <w:r w:rsidR="00160234" w:rsidRPr="00025B12">
                <w:rPr>
                  <w:rStyle w:val="Hypertextovodkaz"/>
                  <w:rFonts w:ascii="Verdana" w:eastAsiaTheme="minorHAnsi" w:hAnsi="Verdana" w:cstheme="minorBidi"/>
                  <w:sz w:val="18"/>
                  <w:szCs w:val="18"/>
                </w:rPr>
                <w:t>SET</w:t>
              </w:r>
            </w:hyperlink>
            <w:r w:rsidR="00160234" w:rsidRPr="00025B12">
              <w:rPr>
                <w:rFonts w:ascii="Verdana" w:eastAsiaTheme="minorHAnsi" w:hAnsi="Verdana" w:cstheme="minorBidi"/>
                <w:sz w:val="18"/>
                <w:szCs w:val="18"/>
              </w:rPr>
              <w:t>/</w:t>
            </w:r>
            <w:hyperlink w:anchor="Databáze_UIV" w:history="1">
              <w:r w:rsidR="00160234" w:rsidRPr="00025B12">
                <w:rPr>
                  <w:rStyle w:val="Hypertextovodkaz"/>
                  <w:rFonts w:ascii="Verdana" w:eastAsiaTheme="minorHAnsi" w:hAnsi="Verdana" w:cstheme="minorBidi"/>
                  <w:sz w:val="18"/>
                  <w:szCs w:val="18"/>
                </w:rPr>
                <w:t>Databáze ÚIV</w:t>
              </w:r>
            </w:hyperlink>
          </w:p>
        </w:tc>
        <w:tc>
          <w:tcPr>
            <w:tcW w:w="2291" w:type="dxa"/>
            <w:tcBorders>
              <w:top w:val="dotted" w:sz="4" w:space="0" w:color="auto"/>
              <w:left w:val="dotted" w:sz="4" w:space="0" w:color="auto"/>
              <w:right w:val="dotted" w:sz="4" w:space="0" w:color="auto"/>
            </w:tcBorders>
            <w:vAlign w:val="center"/>
          </w:tcPr>
          <w:p w:rsidR="00776544" w:rsidRPr="00025B12" w:rsidRDefault="00776544" w:rsidP="00874FFE">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ÚIV</w:t>
            </w:r>
          </w:p>
        </w:tc>
        <w:tc>
          <w:tcPr>
            <w:tcW w:w="2113" w:type="dxa"/>
            <w:tcBorders>
              <w:top w:val="dotted" w:sz="4" w:space="0" w:color="auto"/>
              <w:left w:val="dotted" w:sz="4" w:space="0" w:color="auto"/>
              <w:right w:val="dotted" w:sz="4" w:space="0" w:color="auto"/>
            </w:tcBorders>
            <w:vAlign w:val="center"/>
          </w:tcPr>
          <w:p w:rsidR="00776544" w:rsidRPr="00025B12" w:rsidRDefault="00776544" w:rsidP="00874FFE">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94" w:type="dxa"/>
            <w:tcBorders>
              <w:top w:val="dotted" w:sz="4" w:space="0" w:color="auto"/>
              <w:left w:val="dotted" w:sz="4" w:space="0" w:color="auto"/>
            </w:tcBorders>
            <w:vAlign w:val="center"/>
          </w:tcPr>
          <w:p w:rsidR="00776544" w:rsidRPr="00025B12" w:rsidRDefault="00776544" w:rsidP="00874FFE">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2006</w:t>
            </w:r>
          </w:p>
        </w:tc>
      </w:tr>
      <w:tr w:rsidR="00E8213D" w:rsidRPr="00025B12" w:rsidTr="00E8213D">
        <w:trPr>
          <w:trHeight w:val="274"/>
        </w:trPr>
        <w:tc>
          <w:tcPr>
            <w:tcW w:w="7494" w:type="dxa"/>
            <w:gridSpan w:val="4"/>
            <w:shd w:val="clear" w:color="auto" w:fill="663399"/>
          </w:tcPr>
          <w:p w:rsidR="00E8213D" w:rsidRPr="00025B12" w:rsidRDefault="00E8213D" w:rsidP="00E8213D">
            <w:pPr>
              <w:spacing w:after="0" w:line="240" w:lineRule="auto"/>
              <w:jc w:val="center"/>
              <w:rPr>
                <w:rFonts w:ascii="Verdana" w:eastAsiaTheme="minorHAnsi" w:hAnsi="Verdana" w:cstheme="minorBidi"/>
                <w:sz w:val="18"/>
                <w:szCs w:val="18"/>
              </w:rPr>
            </w:pPr>
          </w:p>
        </w:tc>
        <w:tc>
          <w:tcPr>
            <w:tcW w:w="1794" w:type="dxa"/>
            <w:shd w:val="clear" w:color="auto" w:fill="663399"/>
          </w:tcPr>
          <w:p w:rsidR="00E8213D" w:rsidRPr="00025B12" w:rsidRDefault="00E8213D" w:rsidP="00E8213D">
            <w:pPr>
              <w:spacing w:after="0" w:line="240" w:lineRule="auto"/>
              <w:jc w:val="center"/>
              <w:rPr>
                <w:rFonts w:ascii="Verdana" w:eastAsiaTheme="minorHAnsi" w:hAnsi="Verdana" w:cstheme="minorBidi"/>
                <w:sz w:val="18"/>
                <w:szCs w:val="18"/>
              </w:rPr>
            </w:pPr>
          </w:p>
        </w:tc>
      </w:tr>
      <w:tr w:rsidR="00E8213D" w:rsidRPr="00025B12" w:rsidTr="00E8213D">
        <w:trPr>
          <w:trHeight w:val="1319"/>
        </w:trPr>
        <w:tc>
          <w:tcPr>
            <w:tcW w:w="9288" w:type="dxa"/>
            <w:gridSpan w:val="5"/>
          </w:tcPr>
          <w:p w:rsidR="00E8213D" w:rsidRPr="00025B12" w:rsidRDefault="00E8213D" w:rsidP="00E8213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E8213D" w:rsidRPr="00025B12" w:rsidRDefault="00E8213D" w:rsidP="00E8213D">
            <w:pPr>
              <w:jc w:val="both"/>
              <w:rPr>
                <w:rFonts w:ascii="Verdana" w:hAnsi="Verdana"/>
                <w:sz w:val="18"/>
                <w:szCs w:val="18"/>
              </w:rPr>
            </w:pPr>
            <w:r w:rsidRPr="00025B12">
              <w:rPr>
                <w:rFonts w:ascii="Verdana" w:hAnsi="Verdana"/>
                <w:sz w:val="18"/>
                <w:szCs w:val="18"/>
              </w:rPr>
              <w:t>Cílem indikátoru je postihnout, jaká je nabídka dalšího formálního vzdělání ve formách, které jsou vhodné pro vzdělávání dospělých, tedy v jiných než denních, popř. prezenčních formách.</w:t>
            </w:r>
          </w:p>
        </w:tc>
      </w:tr>
      <w:tr w:rsidR="00E8213D" w:rsidRPr="00025B12" w:rsidTr="00E8213D">
        <w:trPr>
          <w:trHeight w:val="992"/>
        </w:trPr>
        <w:tc>
          <w:tcPr>
            <w:tcW w:w="9288" w:type="dxa"/>
            <w:gridSpan w:val="5"/>
          </w:tcPr>
          <w:p w:rsidR="00E8213D" w:rsidRPr="00025B12" w:rsidRDefault="00E8213D" w:rsidP="00E8213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763E9D" w:rsidRPr="00025B12" w:rsidRDefault="00E8213D" w:rsidP="00875462">
            <w:pPr>
              <w:jc w:val="both"/>
              <w:rPr>
                <w:rFonts w:ascii="Verdana" w:hAnsi="Verdana"/>
                <w:sz w:val="18"/>
                <w:szCs w:val="18"/>
              </w:rPr>
            </w:pPr>
            <w:r w:rsidRPr="00025B12">
              <w:rPr>
                <w:rFonts w:ascii="Verdana" w:hAnsi="Verdana"/>
                <w:sz w:val="18"/>
                <w:szCs w:val="18"/>
              </w:rPr>
              <w:t>Indikátor uvádí počty škol a počty míst ve vzdělávacích programech</w:t>
            </w:r>
            <w:r w:rsidR="00AB53D6" w:rsidRPr="00025B12">
              <w:rPr>
                <w:rFonts w:ascii="Verdana" w:hAnsi="Verdana"/>
                <w:sz w:val="18"/>
                <w:szCs w:val="18"/>
              </w:rPr>
              <w:t xml:space="preserve"> v jiných než prezenčních a </w:t>
            </w:r>
            <w:r w:rsidR="007C3E03" w:rsidRPr="00025B12">
              <w:rPr>
                <w:rFonts w:ascii="Verdana" w:hAnsi="Verdana"/>
                <w:sz w:val="18"/>
                <w:szCs w:val="18"/>
              </w:rPr>
              <w:t>denních</w:t>
            </w:r>
            <w:r w:rsidR="00AB53D6" w:rsidRPr="00025B12">
              <w:rPr>
                <w:rFonts w:ascii="Verdana" w:hAnsi="Verdana"/>
                <w:sz w:val="18"/>
                <w:szCs w:val="18"/>
              </w:rPr>
              <w:t xml:space="preserve"> formách</w:t>
            </w:r>
            <w:r w:rsidRPr="00025B12">
              <w:rPr>
                <w:rFonts w:ascii="Verdana" w:hAnsi="Verdana"/>
                <w:sz w:val="18"/>
                <w:szCs w:val="18"/>
              </w:rPr>
              <w:t xml:space="preserve"> v absolutních číslech v členění podle stupňů vzdělání a podle oborů</w:t>
            </w:r>
            <w:r w:rsidR="00077EF9" w:rsidRPr="00025B12">
              <w:rPr>
                <w:rFonts w:ascii="Verdana" w:hAnsi="Verdana"/>
                <w:sz w:val="18"/>
                <w:szCs w:val="18"/>
              </w:rPr>
              <w:t xml:space="preserve"> a dále podíl počtu škol poskytujících vzdělávání v jiných než denních formách na celkovém počtu škol poskytujících sledovaný obor.</w:t>
            </w:r>
            <w:r w:rsidR="00763E9D" w:rsidRPr="00025B12">
              <w:rPr>
                <w:rFonts w:ascii="Verdana" w:hAnsi="Verdana"/>
                <w:sz w:val="18"/>
                <w:szCs w:val="18"/>
              </w:rPr>
              <w:t xml:space="preserve"> </w:t>
            </w:r>
            <w:r w:rsidRPr="00025B12">
              <w:rPr>
                <w:rFonts w:ascii="Verdana" w:hAnsi="Verdana"/>
                <w:sz w:val="18"/>
                <w:szCs w:val="18"/>
              </w:rPr>
              <w:t xml:space="preserve">U středních škol se jedná </w:t>
            </w:r>
            <w:r w:rsidR="00763E9D" w:rsidRPr="00025B12">
              <w:rPr>
                <w:rFonts w:ascii="Verdana" w:hAnsi="Verdana"/>
                <w:sz w:val="18"/>
                <w:szCs w:val="18"/>
              </w:rPr>
              <w:t>o přímo zveřejňované kapacity na základě. U vysokých škol je doplněn odhad kapacity na základě statistik přijímacího řízení (počtů přijatých bez ohledu na to, zda se skutečně zapsali či nikoli).</w:t>
            </w:r>
          </w:p>
        </w:tc>
      </w:tr>
      <w:tr w:rsidR="00E8213D" w:rsidRPr="00025B12" w:rsidTr="00E8213D">
        <w:trPr>
          <w:trHeight w:val="1053"/>
        </w:trPr>
        <w:tc>
          <w:tcPr>
            <w:tcW w:w="9288" w:type="dxa"/>
            <w:gridSpan w:val="5"/>
          </w:tcPr>
          <w:p w:rsidR="00E8213D" w:rsidRPr="00025B12" w:rsidRDefault="00E8213D" w:rsidP="00E8213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E8213D" w:rsidRPr="00025B12" w:rsidRDefault="00763E9D" w:rsidP="00E8213D">
            <w:pPr>
              <w:jc w:val="both"/>
              <w:rPr>
                <w:rFonts w:ascii="Verdana" w:hAnsi="Verdana"/>
                <w:sz w:val="18"/>
                <w:szCs w:val="18"/>
              </w:rPr>
            </w:pPr>
            <w:r w:rsidRPr="00025B12">
              <w:rPr>
                <w:rFonts w:ascii="Verdana" w:hAnsi="Verdana"/>
                <w:sz w:val="18"/>
                <w:szCs w:val="18"/>
              </w:rPr>
              <w:t>Data pro střední školy je možné získávat z databáze SET provozované ÚIV. Získávání informací z webové stránky je však příliš náročné, bylo by vhodné zajistit pro monitoring přístup ke zdrojovým datům.</w:t>
            </w:r>
          </w:p>
          <w:p w:rsidR="00763E9D" w:rsidRPr="00025B12" w:rsidRDefault="00392EBC" w:rsidP="00E8213D">
            <w:pPr>
              <w:jc w:val="both"/>
              <w:rPr>
                <w:rFonts w:ascii="Verdana" w:hAnsi="Verdana"/>
                <w:sz w:val="18"/>
                <w:szCs w:val="18"/>
              </w:rPr>
            </w:pPr>
            <w:r w:rsidRPr="00025B12">
              <w:rPr>
                <w:rFonts w:ascii="Verdana" w:hAnsi="Verdana"/>
                <w:sz w:val="18"/>
                <w:szCs w:val="18"/>
              </w:rPr>
              <w:t xml:space="preserve">Pro vysoké školy jsou údaje přebírány ze statistik o přijímacím řízení z ročenky školství vydávané ÚIV. K dispozici je však pouze hrubé členění oborů a bez krajského členění. Bylo by třeba využít přímo zdrojová data. </w:t>
            </w:r>
          </w:p>
        </w:tc>
      </w:tr>
      <w:tr w:rsidR="00E8213D" w:rsidRPr="00025B12" w:rsidTr="00E8213D">
        <w:trPr>
          <w:trHeight w:val="837"/>
        </w:trPr>
        <w:tc>
          <w:tcPr>
            <w:tcW w:w="9288" w:type="dxa"/>
            <w:gridSpan w:val="5"/>
          </w:tcPr>
          <w:p w:rsidR="00E8213D" w:rsidRPr="00025B12" w:rsidRDefault="00E8213D" w:rsidP="00E8213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E8213D" w:rsidRPr="00025B12" w:rsidRDefault="00763E9D" w:rsidP="00E8213D">
            <w:pPr>
              <w:jc w:val="both"/>
              <w:rPr>
                <w:rFonts w:ascii="Verdana" w:hAnsi="Verdana"/>
                <w:sz w:val="18"/>
                <w:szCs w:val="18"/>
              </w:rPr>
            </w:pPr>
            <w:r w:rsidRPr="00025B12">
              <w:rPr>
                <w:rFonts w:ascii="Verdana" w:hAnsi="Verdana"/>
                <w:sz w:val="18"/>
                <w:szCs w:val="18"/>
              </w:rPr>
              <w:t>V současné době je proveden pouze ukázkový propočet indikátoru pro 1 obor středních škol</w:t>
            </w:r>
            <w:r w:rsidR="00DE03BF" w:rsidRPr="00025B12">
              <w:rPr>
                <w:rFonts w:ascii="Verdana" w:hAnsi="Verdana"/>
                <w:sz w:val="18"/>
                <w:szCs w:val="18"/>
              </w:rPr>
              <w:t xml:space="preserve"> a pro širší skupiny oborů vysokých škol.</w:t>
            </w:r>
          </w:p>
        </w:tc>
      </w:tr>
    </w:tbl>
    <w:p w:rsidR="0020154F" w:rsidRPr="00025B12" w:rsidRDefault="0020154F" w:rsidP="000C6631">
      <w:pPr>
        <w:jc w:val="both"/>
        <w:outlineLvl w:val="0"/>
        <w:rPr>
          <w:rFonts w:ascii="Verdana" w:hAnsi="Verdana"/>
          <w:b/>
          <w:sz w:val="24"/>
          <w:szCs w:val="24"/>
        </w:rPr>
      </w:pPr>
    </w:p>
    <w:p w:rsidR="0020154F" w:rsidRPr="00025B12" w:rsidRDefault="0020154F" w:rsidP="000C6631">
      <w:pPr>
        <w:jc w:val="both"/>
        <w:outlineLvl w:val="0"/>
        <w:rPr>
          <w:rFonts w:ascii="Verdana" w:hAnsi="Verdana"/>
          <w:b/>
          <w:sz w:val="24"/>
          <w:szCs w:val="24"/>
        </w:rPr>
      </w:pPr>
      <w:r w:rsidRPr="00025B12">
        <w:rPr>
          <w:rFonts w:ascii="Verdana" w:hAnsi="Verdana"/>
          <w:b/>
          <w:sz w:val="24"/>
          <w:szCs w:val="24"/>
        </w:rPr>
        <w:br w:type="page"/>
      </w:r>
    </w:p>
    <w:p w:rsidR="00C43089" w:rsidRPr="00025B12" w:rsidRDefault="00C43089" w:rsidP="000C6631">
      <w:pPr>
        <w:jc w:val="both"/>
        <w:outlineLvl w:val="0"/>
        <w:rPr>
          <w:rFonts w:ascii="Verdana" w:hAnsi="Verdana"/>
          <w:b/>
          <w:sz w:val="24"/>
          <w:szCs w:val="24"/>
        </w:rPr>
      </w:pPr>
      <w:r w:rsidRPr="00025B12">
        <w:rPr>
          <w:rFonts w:ascii="Verdana" w:hAnsi="Verdana"/>
          <w:b/>
          <w:sz w:val="24"/>
          <w:szCs w:val="24"/>
        </w:rPr>
        <w:t>III.2 Nabídka neformálního vzdělávání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1642"/>
        <w:gridCol w:w="2291"/>
        <w:gridCol w:w="2113"/>
        <w:gridCol w:w="1794"/>
      </w:tblGrid>
      <w:tr w:rsidR="003D4F90" w:rsidRPr="00025B12" w:rsidTr="00D131AA">
        <w:trPr>
          <w:trHeight w:val="425"/>
        </w:trPr>
        <w:tc>
          <w:tcPr>
            <w:tcW w:w="1448" w:type="dxa"/>
            <w:tcBorders>
              <w:bottom w:val="single" w:sz="4" w:space="0" w:color="auto"/>
              <w:right w:val="single" w:sz="4" w:space="0" w:color="auto"/>
            </w:tcBorders>
            <w:shd w:val="clear" w:color="auto" w:fill="663399"/>
            <w:vAlign w:val="center"/>
          </w:tcPr>
          <w:p w:rsidR="003D4F90" w:rsidRPr="00025B12" w:rsidRDefault="003D4F90" w:rsidP="00D131AA">
            <w:pPr>
              <w:pStyle w:val="Kd"/>
              <w:rPr>
                <w:sz w:val="18"/>
                <w:szCs w:val="18"/>
              </w:rPr>
            </w:pPr>
            <w:r w:rsidRPr="00025B12">
              <w:rPr>
                <w:sz w:val="18"/>
                <w:szCs w:val="18"/>
              </w:rPr>
              <w:br w:type="page"/>
            </w:r>
            <w:r w:rsidRPr="00025B12">
              <w:rPr>
                <w:sz w:val="18"/>
                <w:szCs w:val="18"/>
              </w:rPr>
              <w:br w:type="page"/>
            </w:r>
            <w:bookmarkStart w:id="95" w:name="III22"/>
            <w:r w:rsidRPr="00025B12">
              <w:rPr>
                <w:sz w:val="18"/>
                <w:szCs w:val="18"/>
              </w:rPr>
              <w:t>III.2.</w:t>
            </w:r>
            <w:bookmarkEnd w:id="95"/>
            <w:r w:rsidRPr="00025B12">
              <w:rPr>
                <w:sz w:val="18"/>
                <w:szCs w:val="18"/>
              </w:rPr>
              <w:t>1</w:t>
            </w:r>
          </w:p>
        </w:tc>
        <w:tc>
          <w:tcPr>
            <w:tcW w:w="7840" w:type="dxa"/>
            <w:gridSpan w:val="4"/>
            <w:vMerge w:val="restart"/>
            <w:tcBorders>
              <w:top w:val="single" w:sz="4" w:space="0" w:color="auto"/>
              <w:left w:val="single" w:sz="4" w:space="0" w:color="auto"/>
              <w:right w:val="single" w:sz="4" w:space="0" w:color="auto"/>
            </w:tcBorders>
            <w:shd w:val="clear" w:color="auto" w:fill="663399"/>
            <w:vAlign w:val="center"/>
          </w:tcPr>
          <w:p w:rsidR="003D4F90" w:rsidRPr="00025B12" w:rsidRDefault="000E2AEC" w:rsidP="000E2AEC">
            <w:pPr>
              <w:spacing w:after="0" w:line="240" w:lineRule="auto"/>
              <w:jc w:val="center"/>
              <w:rPr>
                <w:rFonts w:ascii="Verdana" w:eastAsiaTheme="minorHAnsi" w:hAnsi="Verdana" w:cstheme="minorBidi"/>
                <w:b/>
                <w:color w:val="FFFFFF" w:themeColor="background1"/>
              </w:rPr>
            </w:pPr>
            <w:r>
              <w:rPr>
                <w:rFonts w:ascii="Verdana" w:eastAsiaTheme="minorHAnsi" w:hAnsi="Verdana" w:cstheme="minorBidi"/>
                <w:b/>
                <w:color w:val="FFFFFF" w:themeColor="background1"/>
              </w:rPr>
              <w:t>K</w:t>
            </w:r>
            <w:r w:rsidR="003D4F90" w:rsidRPr="00025B12">
              <w:rPr>
                <w:rFonts w:ascii="Verdana" w:eastAsiaTheme="minorHAnsi" w:hAnsi="Verdana" w:cstheme="minorBidi"/>
                <w:b/>
                <w:color w:val="FFFFFF" w:themeColor="background1"/>
              </w:rPr>
              <w:t>apacita nabízených kurzů</w:t>
            </w:r>
            <w:r w:rsidR="00875462" w:rsidRPr="00025B12">
              <w:rPr>
                <w:rFonts w:ascii="Verdana" w:eastAsiaTheme="minorHAnsi" w:hAnsi="Verdana" w:cstheme="minorBidi"/>
                <w:b/>
                <w:color w:val="FFFFFF" w:themeColor="background1"/>
              </w:rPr>
              <w:t xml:space="preserve"> </w:t>
            </w:r>
            <w:r w:rsidR="003D4F90" w:rsidRPr="00025B12">
              <w:rPr>
                <w:rFonts w:ascii="Verdana" w:eastAsiaTheme="minorHAnsi" w:hAnsi="Verdana" w:cstheme="minorBidi"/>
                <w:b/>
                <w:color w:val="FFFFFF" w:themeColor="background1"/>
              </w:rPr>
              <w:t>podle obsahového zaměření</w:t>
            </w:r>
          </w:p>
        </w:tc>
      </w:tr>
      <w:tr w:rsidR="003D4F90" w:rsidRPr="00025B12" w:rsidTr="00D131AA">
        <w:trPr>
          <w:trHeight w:val="360"/>
        </w:trPr>
        <w:tc>
          <w:tcPr>
            <w:tcW w:w="1448" w:type="dxa"/>
            <w:tcBorders>
              <w:top w:val="single" w:sz="4" w:space="0" w:color="auto"/>
              <w:bottom w:val="single" w:sz="4" w:space="0" w:color="auto"/>
              <w:right w:val="single" w:sz="4" w:space="0" w:color="auto"/>
            </w:tcBorders>
            <w:shd w:val="clear" w:color="auto" w:fill="663399"/>
            <w:vAlign w:val="center"/>
          </w:tcPr>
          <w:p w:rsidR="003D4F90" w:rsidRPr="00025B12" w:rsidRDefault="003D4F90"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40" w:type="dxa"/>
            <w:gridSpan w:val="4"/>
            <w:vMerge/>
            <w:tcBorders>
              <w:left w:val="single" w:sz="4" w:space="0" w:color="auto"/>
              <w:bottom w:val="single" w:sz="4" w:space="0" w:color="auto"/>
              <w:right w:val="single"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p>
        </w:tc>
      </w:tr>
      <w:tr w:rsidR="003D4F90" w:rsidRPr="00025B12" w:rsidTr="00296FE3">
        <w:trPr>
          <w:trHeight w:val="360"/>
        </w:trPr>
        <w:tc>
          <w:tcPr>
            <w:tcW w:w="1448" w:type="dxa"/>
            <w:tcBorders>
              <w:top w:val="single" w:sz="4" w:space="0" w:color="auto"/>
              <w:bottom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sz w:val="18"/>
                <w:szCs w:val="18"/>
              </w:rPr>
            </w:pPr>
          </w:p>
        </w:tc>
        <w:tc>
          <w:tcPr>
            <w:tcW w:w="1642" w:type="dxa"/>
            <w:tcBorders>
              <w:top w:val="single"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91" w:type="dxa"/>
            <w:tcBorders>
              <w:top w:val="single"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3" w:type="dxa"/>
            <w:tcBorders>
              <w:top w:val="single"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94" w:type="dxa"/>
            <w:tcBorders>
              <w:top w:val="single" w:sz="4" w:space="0" w:color="auto"/>
              <w:left w:val="dotted" w:sz="4" w:space="0" w:color="auto"/>
              <w:bottom w:val="dotted" w:sz="4" w:space="0" w:color="auto"/>
            </w:tcBorders>
            <w:vAlign w:val="center"/>
          </w:tcPr>
          <w:p w:rsidR="003D4F90" w:rsidRPr="00025B12" w:rsidRDefault="003D4F90"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3D4F90" w:rsidRPr="00025B12" w:rsidTr="00D131AA">
        <w:trPr>
          <w:trHeight w:val="360"/>
        </w:trPr>
        <w:tc>
          <w:tcPr>
            <w:tcW w:w="1448" w:type="dxa"/>
            <w:tcBorders>
              <w:top w:val="dotted" w:sz="4" w:space="0" w:color="auto"/>
              <w:bottom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42"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91"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94" w:type="dxa"/>
            <w:tcBorders>
              <w:top w:val="dotted" w:sz="4" w:space="0" w:color="auto"/>
              <w:left w:val="dotted" w:sz="4" w:space="0" w:color="auto"/>
              <w:bottom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3D4F90" w:rsidRPr="00025B12" w:rsidTr="00D131AA">
        <w:trPr>
          <w:trHeight w:val="360"/>
        </w:trPr>
        <w:tc>
          <w:tcPr>
            <w:tcW w:w="1448" w:type="dxa"/>
            <w:tcBorders>
              <w:top w:val="dotted" w:sz="4" w:space="0" w:color="auto"/>
              <w:bottom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42" w:type="dxa"/>
            <w:tcBorders>
              <w:top w:val="dotted" w:sz="4" w:space="0" w:color="auto"/>
              <w:left w:val="dotted" w:sz="4" w:space="0" w:color="auto"/>
              <w:bottom w:val="dotted" w:sz="4" w:space="0" w:color="auto"/>
              <w:right w:val="dotted" w:sz="4" w:space="0" w:color="auto"/>
            </w:tcBorders>
            <w:vAlign w:val="center"/>
          </w:tcPr>
          <w:p w:rsidR="003D4F90" w:rsidRPr="00025B12" w:rsidRDefault="00665F1D" w:rsidP="00D131AA">
            <w:pPr>
              <w:spacing w:after="0" w:line="240" w:lineRule="auto"/>
              <w:jc w:val="center"/>
              <w:rPr>
                <w:rFonts w:ascii="Verdana" w:eastAsiaTheme="minorHAnsi" w:hAnsi="Verdana" w:cstheme="minorBidi"/>
                <w:sz w:val="18"/>
                <w:szCs w:val="18"/>
              </w:rPr>
            </w:pPr>
            <w:hyperlink w:anchor="Databáze_nabídky" w:history="1">
              <w:r w:rsidR="003D4F90" w:rsidRPr="00025B12">
                <w:rPr>
                  <w:rStyle w:val="Hypertextovodkaz"/>
                  <w:rFonts w:ascii="Verdana" w:eastAsiaTheme="minorHAnsi" w:hAnsi="Verdana" w:cstheme="minorBidi"/>
                  <w:sz w:val="18"/>
                  <w:szCs w:val="18"/>
                </w:rPr>
                <w:t>Databáze nabídky</w:t>
              </w:r>
            </w:hyperlink>
          </w:p>
        </w:tc>
        <w:tc>
          <w:tcPr>
            <w:tcW w:w="2291"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Provozovatelé databází</w:t>
            </w:r>
          </w:p>
        </w:tc>
        <w:tc>
          <w:tcPr>
            <w:tcW w:w="2113"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½ roku</w:t>
            </w:r>
          </w:p>
        </w:tc>
        <w:tc>
          <w:tcPr>
            <w:tcW w:w="1794" w:type="dxa"/>
            <w:tcBorders>
              <w:top w:val="dotted" w:sz="4" w:space="0" w:color="auto"/>
              <w:left w:val="dotted" w:sz="4" w:space="0" w:color="auto"/>
              <w:bottom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2010</w:t>
            </w:r>
          </w:p>
        </w:tc>
      </w:tr>
      <w:tr w:rsidR="003D4F90" w:rsidRPr="00025B12" w:rsidTr="00D131AA">
        <w:trPr>
          <w:trHeight w:val="360"/>
        </w:trPr>
        <w:tc>
          <w:tcPr>
            <w:tcW w:w="1448" w:type="dxa"/>
            <w:tcBorders>
              <w:top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42" w:type="dxa"/>
            <w:tcBorders>
              <w:top w:val="dotted" w:sz="4" w:space="0" w:color="auto"/>
              <w:left w:val="dotted" w:sz="4" w:space="0" w:color="auto"/>
              <w:right w:val="dotted" w:sz="4" w:space="0" w:color="auto"/>
            </w:tcBorders>
            <w:vAlign w:val="center"/>
          </w:tcPr>
          <w:p w:rsidR="003D4F90" w:rsidRPr="00025B12" w:rsidRDefault="00665F1D" w:rsidP="00D131AA">
            <w:pPr>
              <w:spacing w:after="0" w:line="240" w:lineRule="auto"/>
              <w:jc w:val="center"/>
              <w:rPr>
                <w:rFonts w:ascii="Verdana" w:eastAsiaTheme="minorHAnsi" w:hAnsi="Verdana" w:cstheme="minorBidi"/>
                <w:sz w:val="18"/>
                <w:szCs w:val="18"/>
              </w:rPr>
            </w:pPr>
            <w:hyperlink w:anchor="Databáze_nabídky" w:history="1">
              <w:r w:rsidR="003D4F90" w:rsidRPr="00025B12">
                <w:rPr>
                  <w:rStyle w:val="Hypertextovodkaz"/>
                  <w:rFonts w:ascii="Verdana" w:eastAsiaTheme="minorHAnsi" w:hAnsi="Verdana" w:cstheme="minorBidi"/>
                  <w:sz w:val="18"/>
                  <w:szCs w:val="18"/>
                </w:rPr>
                <w:t>Databáze nabídky</w:t>
              </w:r>
            </w:hyperlink>
          </w:p>
        </w:tc>
        <w:tc>
          <w:tcPr>
            <w:tcW w:w="2291" w:type="dxa"/>
            <w:tcBorders>
              <w:top w:val="dotted" w:sz="4" w:space="0" w:color="auto"/>
              <w:left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Provozovatelé databází</w:t>
            </w:r>
          </w:p>
        </w:tc>
        <w:tc>
          <w:tcPr>
            <w:tcW w:w="2113" w:type="dxa"/>
            <w:tcBorders>
              <w:top w:val="dotted" w:sz="4" w:space="0" w:color="auto"/>
              <w:left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½ roku</w:t>
            </w:r>
          </w:p>
        </w:tc>
        <w:tc>
          <w:tcPr>
            <w:tcW w:w="1794" w:type="dxa"/>
            <w:tcBorders>
              <w:top w:val="dotted" w:sz="4" w:space="0" w:color="auto"/>
              <w:lef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2010</w:t>
            </w:r>
          </w:p>
        </w:tc>
      </w:tr>
      <w:tr w:rsidR="003D4F90" w:rsidRPr="00025B12" w:rsidTr="00D131AA">
        <w:trPr>
          <w:trHeight w:val="274"/>
        </w:trPr>
        <w:tc>
          <w:tcPr>
            <w:tcW w:w="7494" w:type="dxa"/>
            <w:gridSpan w:val="4"/>
            <w:shd w:val="clear" w:color="auto" w:fill="663399"/>
          </w:tcPr>
          <w:p w:rsidR="003D4F90" w:rsidRPr="00025B12" w:rsidRDefault="003D4F90" w:rsidP="00D131AA">
            <w:pPr>
              <w:spacing w:after="0" w:line="240" w:lineRule="auto"/>
              <w:jc w:val="center"/>
              <w:rPr>
                <w:rFonts w:ascii="Verdana" w:eastAsiaTheme="minorHAnsi" w:hAnsi="Verdana" w:cstheme="minorBidi"/>
                <w:sz w:val="18"/>
                <w:szCs w:val="18"/>
              </w:rPr>
            </w:pPr>
          </w:p>
        </w:tc>
        <w:tc>
          <w:tcPr>
            <w:tcW w:w="1794" w:type="dxa"/>
            <w:shd w:val="clear" w:color="auto" w:fill="663399"/>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3D4F90" w:rsidRPr="00025B12" w:rsidTr="00D131AA">
        <w:trPr>
          <w:trHeight w:val="1319"/>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3D4F90" w:rsidRPr="00025B12" w:rsidRDefault="00875462" w:rsidP="00875462">
            <w:pPr>
              <w:ind w:right="34"/>
              <w:jc w:val="both"/>
              <w:rPr>
                <w:rFonts w:ascii="Verdana" w:hAnsi="Verdana"/>
                <w:sz w:val="18"/>
                <w:szCs w:val="18"/>
              </w:rPr>
            </w:pPr>
            <w:r w:rsidRPr="00025B12">
              <w:rPr>
                <w:rFonts w:ascii="Verdana" w:eastAsiaTheme="minorHAnsi" w:hAnsi="Verdana" w:cstheme="minorBidi"/>
                <w:sz w:val="18"/>
                <w:szCs w:val="18"/>
              </w:rPr>
              <w:t>I</w:t>
            </w:r>
            <w:r w:rsidR="003D4F90" w:rsidRPr="00025B12">
              <w:rPr>
                <w:rFonts w:ascii="Verdana" w:eastAsiaTheme="minorHAnsi" w:hAnsi="Verdana" w:cstheme="minorBidi"/>
                <w:sz w:val="18"/>
                <w:szCs w:val="18"/>
              </w:rPr>
              <w:t xml:space="preserve">ndikátor </w:t>
            </w:r>
            <w:r w:rsidRPr="00025B12">
              <w:rPr>
                <w:rFonts w:ascii="Verdana" w:eastAsiaTheme="minorHAnsi" w:hAnsi="Verdana" w:cstheme="minorBidi"/>
                <w:sz w:val="18"/>
                <w:szCs w:val="18"/>
              </w:rPr>
              <w:t xml:space="preserve">sleduje </w:t>
            </w:r>
            <w:r w:rsidR="003D4F90" w:rsidRPr="00025B12">
              <w:rPr>
                <w:rFonts w:ascii="Verdana" w:eastAsiaTheme="minorHAnsi" w:hAnsi="Verdana" w:cstheme="minorBidi"/>
                <w:sz w:val="18"/>
                <w:szCs w:val="18"/>
              </w:rPr>
              <w:t xml:space="preserve">nabídku dalšího </w:t>
            </w:r>
            <w:r w:rsidRPr="00025B12">
              <w:rPr>
                <w:rFonts w:ascii="Verdana" w:eastAsiaTheme="minorHAnsi" w:hAnsi="Verdana" w:cstheme="minorBidi"/>
                <w:sz w:val="18"/>
                <w:szCs w:val="18"/>
              </w:rPr>
              <w:t xml:space="preserve">neformálního </w:t>
            </w:r>
            <w:r w:rsidR="003D4F90" w:rsidRPr="00025B12">
              <w:rPr>
                <w:rFonts w:ascii="Verdana" w:eastAsiaTheme="minorHAnsi" w:hAnsi="Verdana" w:cstheme="minorBidi"/>
                <w:sz w:val="18"/>
                <w:szCs w:val="18"/>
              </w:rPr>
              <w:t>vzdělávání</w:t>
            </w:r>
            <w:r w:rsidRPr="00025B12">
              <w:rPr>
                <w:rFonts w:ascii="Verdana" w:eastAsiaTheme="minorHAnsi" w:hAnsi="Verdana" w:cstheme="minorBidi"/>
                <w:sz w:val="18"/>
                <w:szCs w:val="18"/>
              </w:rPr>
              <w:t xml:space="preserve"> a její kapacitu</w:t>
            </w:r>
            <w:r w:rsidR="003D4F90" w:rsidRPr="00025B12">
              <w:rPr>
                <w:rFonts w:ascii="Verdana" w:eastAsiaTheme="minorHAnsi" w:hAnsi="Verdana" w:cstheme="minorBidi"/>
                <w:sz w:val="18"/>
                <w:szCs w:val="18"/>
              </w:rPr>
              <w:t xml:space="preserve"> – uvádí počty míst v nabízených kurzech</w:t>
            </w:r>
            <w:r w:rsidRPr="00025B12">
              <w:rPr>
                <w:rFonts w:ascii="Verdana" w:eastAsiaTheme="minorHAnsi" w:hAnsi="Verdana" w:cstheme="minorBidi"/>
                <w:sz w:val="18"/>
                <w:szCs w:val="18"/>
              </w:rPr>
              <w:t xml:space="preserve"> dalšího neformálního vzdělávání</w:t>
            </w:r>
            <w:r w:rsidR="003D4F90" w:rsidRPr="00025B12">
              <w:rPr>
                <w:rFonts w:ascii="Verdana" w:eastAsiaTheme="minorHAnsi" w:hAnsi="Verdana" w:cstheme="minorBidi"/>
                <w:sz w:val="18"/>
                <w:szCs w:val="18"/>
              </w:rPr>
              <w:t xml:space="preserve"> a dává je do souvislosti s poptávkou v širším slova smyslu.</w:t>
            </w:r>
          </w:p>
        </w:tc>
      </w:tr>
      <w:tr w:rsidR="003D4F90" w:rsidRPr="00025B12" w:rsidTr="00D131AA">
        <w:trPr>
          <w:trHeight w:val="992"/>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3D4F90" w:rsidRPr="00025B12" w:rsidRDefault="003D4F90" w:rsidP="00D131AA">
            <w:pPr>
              <w:jc w:val="both"/>
              <w:rPr>
                <w:rFonts w:ascii="Verdana" w:eastAsiaTheme="minorHAnsi" w:hAnsi="Verdana" w:cstheme="minorBidi"/>
                <w:sz w:val="18"/>
                <w:szCs w:val="18"/>
              </w:rPr>
            </w:pPr>
            <w:r w:rsidRPr="00025B12">
              <w:rPr>
                <w:rFonts w:ascii="Verdana" w:eastAsiaTheme="minorHAnsi" w:hAnsi="Verdana"/>
                <w:sz w:val="18"/>
                <w:szCs w:val="18"/>
              </w:rPr>
              <w:t>Indikátor uvá</w:t>
            </w:r>
            <w:r w:rsidR="00875462" w:rsidRPr="00025B12">
              <w:rPr>
                <w:rFonts w:ascii="Verdana" w:eastAsiaTheme="minorHAnsi" w:hAnsi="Verdana"/>
                <w:sz w:val="18"/>
                <w:szCs w:val="18"/>
              </w:rPr>
              <w:t xml:space="preserve">dí </w:t>
            </w:r>
            <w:r w:rsidRPr="00025B12">
              <w:rPr>
                <w:rFonts w:ascii="Verdana" w:eastAsiaTheme="minorHAnsi" w:hAnsi="Verdana"/>
                <w:sz w:val="18"/>
                <w:szCs w:val="18"/>
              </w:rPr>
              <w:t xml:space="preserve">kapacitu kurzů </w:t>
            </w:r>
            <w:r w:rsidR="00875462" w:rsidRPr="00025B12">
              <w:rPr>
                <w:rFonts w:ascii="Verdana" w:eastAsiaTheme="minorHAnsi" w:hAnsi="Verdana"/>
                <w:sz w:val="18"/>
                <w:szCs w:val="18"/>
              </w:rPr>
              <w:t xml:space="preserve">neformálního vzdělávání </w:t>
            </w:r>
            <w:r w:rsidRPr="00025B12">
              <w:rPr>
                <w:rFonts w:ascii="Verdana" w:eastAsiaTheme="minorHAnsi" w:hAnsi="Verdana" w:cstheme="minorBidi"/>
                <w:sz w:val="18"/>
                <w:szCs w:val="18"/>
              </w:rPr>
              <w:t xml:space="preserve">jako podíl celkové kapacity kurzů (v počtu míst na kurzech) na 1000 obyvatel ve věku 25-64 let. </w:t>
            </w:r>
          </w:p>
          <w:p w:rsidR="00696537" w:rsidRPr="00025B12" w:rsidRDefault="00875462" w:rsidP="00696537">
            <w:pPr>
              <w:jc w:val="both"/>
              <w:rPr>
                <w:rFonts w:ascii="Verdana" w:eastAsiaTheme="minorHAnsi" w:hAnsi="Verdana" w:cstheme="minorBidi"/>
                <w:sz w:val="18"/>
                <w:szCs w:val="18"/>
              </w:rPr>
            </w:pPr>
            <w:r w:rsidRPr="00025B12">
              <w:rPr>
                <w:rFonts w:ascii="Verdana" w:eastAsiaTheme="minorHAnsi" w:hAnsi="Verdana" w:cstheme="minorBidi"/>
                <w:sz w:val="18"/>
                <w:szCs w:val="18"/>
              </w:rPr>
              <w:t>K</w:t>
            </w:r>
            <w:r w:rsidR="003D4F90" w:rsidRPr="00025B12">
              <w:rPr>
                <w:rFonts w:ascii="Verdana" w:eastAsiaTheme="minorHAnsi" w:hAnsi="Verdana" w:cstheme="minorBidi"/>
                <w:sz w:val="18"/>
                <w:szCs w:val="18"/>
              </w:rPr>
              <w:t>apacita kurzů je</w:t>
            </w:r>
            <w:r w:rsidRPr="00025B12">
              <w:rPr>
                <w:rFonts w:ascii="Verdana" w:eastAsiaTheme="minorHAnsi" w:hAnsi="Verdana" w:cstheme="minorBidi"/>
                <w:sz w:val="18"/>
                <w:szCs w:val="18"/>
              </w:rPr>
              <w:t xml:space="preserve"> získána z informací v databázích dalšího neformálního vzdělávání v </w:t>
            </w:r>
            <w:r w:rsidR="003D4F90" w:rsidRPr="00025B12">
              <w:rPr>
                <w:rFonts w:ascii="Verdana" w:eastAsiaTheme="minorHAnsi" w:hAnsi="Verdana" w:cstheme="minorBidi"/>
                <w:sz w:val="18"/>
                <w:szCs w:val="18"/>
              </w:rPr>
              <w:t>členění</w:t>
            </w:r>
            <w:r w:rsidRPr="00025B12">
              <w:rPr>
                <w:rFonts w:ascii="Verdana" w:eastAsiaTheme="minorHAnsi" w:hAnsi="Verdana" w:cstheme="minorBidi"/>
                <w:sz w:val="18"/>
                <w:szCs w:val="18"/>
              </w:rPr>
              <w:t>:</w:t>
            </w:r>
          </w:p>
          <w:p w:rsidR="00696537" w:rsidRPr="00025B12" w:rsidRDefault="00696537" w:rsidP="00696537">
            <w:pPr>
              <w:numPr>
                <w:ilvl w:val="0"/>
                <w:numId w:val="22"/>
              </w:numPr>
              <w:spacing w:after="0" w:line="240" w:lineRule="auto"/>
              <w:ind w:right="34"/>
              <w:jc w:val="both"/>
              <w:rPr>
                <w:rFonts w:ascii="Verdana" w:eastAsia="Times New Roman" w:hAnsi="Verdana"/>
                <w:sz w:val="18"/>
                <w:szCs w:val="18"/>
              </w:rPr>
            </w:pPr>
            <w:r w:rsidRPr="00025B12">
              <w:rPr>
                <w:rFonts w:ascii="Verdana" w:eastAsia="Times New Roman" w:hAnsi="Verdana"/>
                <w:sz w:val="18"/>
                <w:szCs w:val="18"/>
              </w:rPr>
              <w:t>kurzy jazykové</w:t>
            </w:r>
          </w:p>
          <w:p w:rsidR="00696537" w:rsidRPr="00025B12" w:rsidRDefault="00696537" w:rsidP="00696537">
            <w:pPr>
              <w:numPr>
                <w:ilvl w:val="0"/>
                <w:numId w:val="22"/>
              </w:numPr>
              <w:spacing w:after="0" w:line="240" w:lineRule="auto"/>
              <w:ind w:right="34"/>
              <w:jc w:val="both"/>
              <w:rPr>
                <w:rFonts w:ascii="Verdana" w:eastAsia="Times New Roman" w:hAnsi="Verdana"/>
                <w:sz w:val="18"/>
                <w:szCs w:val="18"/>
              </w:rPr>
            </w:pPr>
            <w:r w:rsidRPr="00025B12">
              <w:rPr>
                <w:rFonts w:ascii="Verdana" w:eastAsia="Times New Roman" w:hAnsi="Verdana"/>
                <w:sz w:val="18"/>
                <w:szCs w:val="18"/>
              </w:rPr>
              <w:t>kurzy profesní:</w:t>
            </w:r>
          </w:p>
          <w:p w:rsidR="00696537" w:rsidRPr="00025B12" w:rsidRDefault="00696537" w:rsidP="00696537">
            <w:pPr>
              <w:numPr>
                <w:ilvl w:val="1"/>
                <w:numId w:val="23"/>
              </w:numPr>
              <w:spacing w:after="0" w:line="240" w:lineRule="auto"/>
              <w:ind w:right="34"/>
              <w:jc w:val="both"/>
              <w:rPr>
                <w:rFonts w:ascii="Verdana" w:eastAsiaTheme="minorHAnsi" w:hAnsi="Verdana"/>
                <w:sz w:val="18"/>
                <w:szCs w:val="18"/>
              </w:rPr>
            </w:pPr>
            <w:r w:rsidRPr="00025B12">
              <w:rPr>
                <w:rFonts w:ascii="Verdana" w:hAnsi="Verdana"/>
                <w:sz w:val="18"/>
                <w:szCs w:val="18"/>
              </w:rPr>
              <w:t>všeobecné (IT, měkké dovednosti a ostatní – např. BOZP, řidičské průkazy)</w:t>
            </w:r>
          </w:p>
          <w:p w:rsidR="00696537" w:rsidRPr="00025B12" w:rsidRDefault="00696537" w:rsidP="00696537">
            <w:pPr>
              <w:numPr>
                <w:ilvl w:val="1"/>
                <w:numId w:val="23"/>
              </w:numPr>
              <w:spacing w:after="0" w:line="240" w:lineRule="auto"/>
              <w:ind w:right="34"/>
              <w:jc w:val="both"/>
              <w:rPr>
                <w:rFonts w:ascii="Verdana" w:hAnsi="Verdana"/>
                <w:sz w:val="18"/>
                <w:szCs w:val="18"/>
              </w:rPr>
            </w:pPr>
            <w:r w:rsidRPr="00025B12">
              <w:rPr>
                <w:rFonts w:ascii="Verdana" w:hAnsi="Verdana"/>
                <w:sz w:val="18"/>
                <w:szCs w:val="18"/>
              </w:rPr>
              <w:t>odborné – specifické (specifické pro jednotlivé profese – podrobněji viz indikátor III.2.</w:t>
            </w:r>
            <w:r w:rsidR="00926742" w:rsidRPr="00025B12">
              <w:rPr>
                <w:rFonts w:ascii="Verdana" w:hAnsi="Verdana"/>
                <w:sz w:val="18"/>
                <w:szCs w:val="18"/>
              </w:rPr>
              <w:t>2</w:t>
            </w:r>
            <w:r w:rsidRPr="00025B12">
              <w:rPr>
                <w:rFonts w:ascii="Verdana" w:hAnsi="Verdana"/>
                <w:sz w:val="18"/>
                <w:szCs w:val="18"/>
              </w:rPr>
              <w:t>)</w:t>
            </w:r>
          </w:p>
          <w:p w:rsidR="00696537" w:rsidRPr="00025B12" w:rsidRDefault="00696537" w:rsidP="00696537">
            <w:pPr>
              <w:numPr>
                <w:ilvl w:val="0"/>
                <w:numId w:val="23"/>
              </w:numPr>
              <w:jc w:val="both"/>
              <w:rPr>
                <w:rFonts w:ascii="Verdana" w:eastAsia="Times New Roman" w:hAnsi="Verdana"/>
                <w:b/>
                <w:bCs/>
                <w:sz w:val="18"/>
                <w:szCs w:val="18"/>
              </w:rPr>
            </w:pPr>
            <w:r w:rsidRPr="00025B12">
              <w:rPr>
                <w:rFonts w:ascii="Verdana" w:eastAsia="Times New Roman" w:hAnsi="Verdana"/>
                <w:sz w:val="18"/>
                <w:szCs w:val="18"/>
              </w:rPr>
              <w:t>kurzy zájmové</w:t>
            </w:r>
            <w:r w:rsidR="00926742" w:rsidRPr="00025B12">
              <w:rPr>
                <w:rFonts w:ascii="Verdana" w:eastAsia="Times New Roman" w:hAnsi="Verdana"/>
                <w:sz w:val="18"/>
                <w:szCs w:val="18"/>
              </w:rPr>
              <w:t xml:space="preserve"> a nezařazené</w:t>
            </w:r>
            <w:r w:rsidRPr="00025B12">
              <w:rPr>
                <w:rFonts w:ascii="Verdana" w:eastAsia="Times New Roman" w:hAnsi="Verdana"/>
                <w:sz w:val="18"/>
                <w:szCs w:val="18"/>
              </w:rPr>
              <w:t>.</w:t>
            </w:r>
          </w:p>
          <w:p w:rsidR="003D4F90" w:rsidRPr="00025B12" w:rsidRDefault="003D4F90" w:rsidP="00696537">
            <w:pPr>
              <w:jc w:val="both"/>
              <w:rPr>
                <w:rFonts w:ascii="Verdana" w:eastAsiaTheme="minorHAnsi" w:hAnsi="Verdana"/>
                <w:sz w:val="18"/>
                <w:szCs w:val="18"/>
              </w:rPr>
            </w:pPr>
            <w:r w:rsidRPr="00025B12">
              <w:rPr>
                <w:rFonts w:ascii="Verdana" w:eastAsiaTheme="minorHAnsi" w:hAnsi="Verdana" w:cstheme="minorBidi"/>
                <w:sz w:val="18"/>
                <w:szCs w:val="18"/>
              </w:rPr>
              <w:t>U kurzů, kde kapacita není uvedena, je proveden odhad na základě průměrné kapacity kurzů s daným zaměřením.</w:t>
            </w:r>
          </w:p>
        </w:tc>
      </w:tr>
      <w:tr w:rsidR="003D4F90" w:rsidRPr="00025B12" w:rsidTr="00D131AA">
        <w:trPr>
          <w:trHeight w:val="1053"/>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3D4F90" w:rsidRPr="00025B12" w:rsidRDefault="003D4F90" w:rsidP="00D131AA">
            <w:pPr>
              <w:jc w:val="both"/>
              <w:rPr>
                <w:rFonts w:ascii="Verdana" w:hAnsi="Verdana"/>
                <w:sz w:val="18"/>
                <w:szCs w:val="18"/>
              </w:rPr>
            </w:pPr>
            <w:r w:rsidRPr="00025B12">
              <w:rPr>
                <w:rFonts w:ascii="Verdana" w:hAnsi="Verdana"/>
                <w:sz w:val="18"/>
                <w:szCs w:val="18"/>
              </w:rPr>
              <w:t>Zdrojem dat pro výpočet indikátoru je databáze nabídky DV inzerovaná na serverech EDUCity a EU-DAT, které umožňují publikaci indikátoru v krajském členění s pololetní periodicitou. Dostupnost data je vázána na spolupráci s provozovateli databází – společnosti Ivitera a Trexima. Z jejich databází jsou výpočty provedeny na základě specifické metodiky (viz podkladová studie).</w:t>
            </w:r>
          </w:p>
        </w:tc>
      </w:tr>
      <w:tr w:rsidR="003D4F90" w:rsidRPr="00025B12" w:rsidTr="00D131AA">
        <w:trPr>
          <w:trHeight w:val="837"/>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3D4F90" w:rsidRPr="00025B12" w:rsidRDefault="003D4F90" w:rsidP="00D131AA">
            <w:pPr>
              <w:jc w:val="both"/>
              <w:rPr>
                <w:rFonts w:ascii="Verdana" w:hAnsi="Verdana"/>
                <w:sz w:val="18"/>
                <w:szCs w:val="18"/>
              </w:rPr>
            </w:pPr>
            <w:r w:rsidRPr="00025B12">
              <w:rPr>
                <w:rFonts w:ascii="Verdana" w:hAnsi="Verdana"/>
                <w:sz w:val="18"/>
                <w:szCs w:val="18"/>
              </w:rPr>
              <w:t>Průběžně je jednáno o zapojení třetí největší databáze EduMenu (společnost Education, s.r.o.), zatím se ale data nepodařilo získat.</w:t>
            </w:r>
          </w:p>
          <w:p w:rsidR="003D4F90" w:rsidRPr="00025B12" w:rsidRDefault="003D4F90" w:rsidP="00D131AA">
            <w:pPr>
              <w:jc w:val="both"/>
              <w:rPr>
                <w:rFonts w:ascii="Verdana" w:hAnsi="Verdana"/>
                <w:sz w:val="18"/>
                <w:szCs w:val="18"/>
              </w:rPr>
            </w:pPr>
            <w:r w:rsidRPr="00025B12">
              <w:rPr>
                <w:rFonts w:ascii="Verdana" w:hAnsi="Verdana"/>
                <w:sz w:val="18"/>
                <w:szCs w:val="18"/>
              </w:rPr>
              <w:t>Provizorní verze indikátoru nepočítá průměrnou kapacitu podle zaměření, ale ze všech kurzů.</w:t>
            </w:r>
          </w:p>
          <w:p w:rsidR="00875462" w:rsidRPr="00025B12" w:rsidRDefault="00875462" w:rsidP="00D131AA">
            <w:pPr>
              <w:jc w:val="both"/>
              <w:rPr>
                <w:rFonts w:ascii="Verdana" w:hAnsi="Verdana"/>
                <w:sz w:val="18"/>
                <w:szCs w:val="18"/>
              </w:rPr>
            </w:pPr>
            <w:r w:rsidRPr="00025B12">
              <w:rPr>
                <w:rFonts w:ascii="Verdana" w:hAnsi="Verdana"/>
                <w:sz w:val="18"/>
                <w:szCs w:val="18"/>
              </w:rPr>
              <w:t>Indikátor nezahrnuje nabídku kurzů šitých na míru jednotlivým podnikům, obsahuje pouze veřejně inzerovanou nabídku.</w:t>
            </w:r>
          </w:p>
        </w:tc>
      </w:tr>
    </w:tbl>
    <w:p w:rsidR="003D4F90" w:rsidRPr="00025B12" w:rsidRDefault="003D4F90" w:rsidP="000C6631">
      <w:pPr>
        <w:jc w:val="both"/>
        <w:outlineLvl w:val="0"/>
        <w:rPr>
          <w:rFonts w:ascii="Verdana" w:hAnsi="Verdana"/>
          <w:b/>
          <w:sz w:val="24"/>
          <w:szCs w:val="24"/>
        </w:rPr>
      </w:pPr>
      <w:r w:rsidRPr="00025B12">
        <w:rPr>
          <w:rFonts w:ascii="Verdana" w:hAnsi="Verdana"/>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2204"/>
        <w:gridCol w:w="1729"/>
        <w:gridCol w:w="2113"/>
        <w:gridCol w:w="1794"/>
      </w:tblGrid>
      <w:tr w:rsidR="003D4F90" w:rsidRPr="00025B12" w:rsidTr="00D131AA">
        <w:trPr>
          <w:trHeight w:val="425"/>
        </w:trPr>
        <w:tc>
          <w:tcPr>
            <w:tcW w:w="1448" w:type="dxa"/>
            <w:tcBorders>
              <w:bottom w:val="single" w:sz="4" w:space="0" w:color="auto"/>
              <w:right w:val="single" w:sz="4" w:space="0" w:color="auto"/>
            </w:tcBorders>
            <w:shd w:val="clear" w:color="auto" w:fill="663399"/>
            <w:vAlign w:val="center"/>
          </w:tcPr>
          <w:p w:rsidR="003D4F90" w:rsidRPr="00025B12" w:rsidRDefault="003D4F90" w:rsidP="00D131AA">
            <w:pPr>
              <w:pStyle w:val="Kd"/>
              <w:rPr>
                <w:sz w:val="18"/>
                <w:szCs w:val="18"/>
              </w:rPr>
            </w:pPr>
            <w:r w:rsidRPr="00025B12">
              <w:rPr>
                <w:sz w:val="18"/>
                <w:szCs w:val="18"/>
              </w:rPr>
              <w:br w:type="page"/>
            </w:r>
            <w:r w:rsidRPr="00025B12">
              <w:rPr>
                <w:rFonts w:eastAsia="Calibri" w:cs="Times New Roman"/>
                <w:b w:val="0"/>
                <w:color w:val="auto"/>
                <w:sz w:val="18"/>
                <w:szCs w:val="18"/>
              </w:rPr>
              <w:br w:type="page"/>
            </w:r>
            <w:r w:rsidRPr="00025B12">
              <w:rPr>
                <w:b w:val="0"/>
                <w:sz w:val="18"/>
                <w:szCs w:val="18"/>
              </w:rPr>
              <w:br w:type="page"/>
            </w:r>
            <w:r w:rsidRPr="00025B12">
              <w:rPr>
                <w:sz w:val="18"/>
                <w:szCs w:val="18"/>
              </w:rPr>
              <w:br w:type="page"/>
            </w:r>
            <w:r w:rsidRPr="00025B12">
              <w:rPr>
                <w:sz w:val="18"/>
                <w:szCs w:val="18"/>
              </w:rPr>
              <w:br w:type="page"/>
            </w:r>
            <w:bookmarkStart w:id="96" w:name="III23"/>
            <w:r w:rsidRPr="00025B12">
              <w:rPr>
                <w:sz w:val="18"/>
                <w:szCs w:val="18"/>
              </w:rPr>
              <w:t>III.2.</w:t>
            </w:r>
            <w:bookmarkEnd w:id="96"/>
            <w:r w:rsidRPr="00025B12">
              <w:rPr>
                <w:sz w:val="18"/>
                <w:szCs w:val="18"/>
              </w:rPr>
              <w:t>2</w:t>
            </w:r>
          </w:p>
        </w:tc>
        <w:tc>
          <w:tcPr>
            <w:tcW w:w="7840" w:type="dxa"/>
            <w:gridSpan w:val="4"/>
            <w:vMerge w:val="restart"/>
            <w:tcBorders>
              <w:top w:val="single" w:sz="4" w:space="0" w:color="auto"/>
              <w:left w:val="single" w:sz="4" w:space="0" w:color="auto"/>
              <w:right w:val="single" w:sz="4" w:space="0" w:color="auto"/>
            </w:tcBorders>
            <w:shd w:val="clear" w:color="auto" w:fill="663399"/>
            <w:vAlign w:val="center"/>
          </w:tcPr>
          <w:p w:rsidR="003D4F90" w:rsidRPr="00025B12" w:rsidRDefault="003D4F90" w:rsidP="00915D71">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 xml:space="preserve">Srovnání struktury nabídky </w:t>
            </w:r>
            <w:r w:rsidR="00915D71" w:rsidRPr="00025B12">
              <w:rPr>
                <w:rFonts w:ascii="Verdana" w:eastAsiaTheme="minorHAnsi" w:hAnsi="Verdana" w:cstheme="minorBidi"/>
                <w:b/>
                <w:color w:val="FFFFFF" w:themeColor="background1"/>
              </w:rPr>
              <w:t>profesních kurzů</w:t>
            </w:r>
            <w:r w:rsidRPr="00025B12">
              <w:rPr>
                <w:rFonts w:ascii="Verdana" w:eastAsiaTheme="minorHAnsi" w:hAnsi="Verdana" w:cstheme="minorBidi"/>
                <w:b/>
                <w:color w:val="FFFFFF" w:themeColor="background1"/>
              </w:rPr>
              <w:t xml:space="preserve"> a struktury volných pracovních míst</w:t>
            </w:r>
          </w:p>
        </w:tc>
      </w:tr>
      <w:tr w:rsidR="003D4F90" w:rsidRPr="00025B12" w:rsidTr="00D131AA">
        <w:trPr>
          <w:trHeight w:val="360"/>
        </w:trPr>
        <w:tc>
          <w:tcPr>
            <w:tcW w:w="1448" w:type="dxa"/>
            <w:tcBorders>
              <w:top w:val="single" w:sz="4" w:space="0" w:color="auto"/>
              <w:bottom w:val="single" w:sz="4" w:space="0" w:color="auto"/>
              <w:right w:val="single" w:sz="4" w:space="0" w:color="auto"/>
            </w:tcBorders>
            <w:shd w:val="clear" w:color="auto" w:fill="663399"/>
            <w:vAlign w:val="center"/>
          </w:tcPr>
          <w:p w:rsidR="003D4F90" w:rsidRPr="00025B12" w:rsidRDefault="003D4F90"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40" w:type="dxa"/>
            <w:gridSpan w:val="4"/>
            <w:vMerge/>
            <w:tcBorders>
              <w:left w:val="single" w:sz="4" w:space="0" w:color="auto"/>
              <w:bottom w:val="single" w:sz="4" w:space="0" w:color="auto"/>
              <w:right w:val="single"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p>
        </w:tc>
      </w:tr>
      <w:tr w:rsidR="003D4F90" w:rsidRPr="00025B12" w:rsidTr="00296FE3">
        <w:trPr>
          <w:trHeight w:val="360"/>
        </w:trPr>
        <w:tc>
          <w:tcPr>
            <w:tcW w:w="1448" w:type="dxa"/>
            <w:tcBorders>
              <w:top w:val="single" w:sz="4" w:space="0" w:color="auto"/>
              <w:bottom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sz w:val="18"/>
                <w:szCs w:val="18"/>
              </w:rPr>
            </w:pPr>
          </w:p>
        </w:tc>
        <w:tc>
          <w:tcPr>
            <w:tcW w:w="2204" w:type="dxa"/>
            <w:tcBorders>
              <w:top w:val="single"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1729" w:type="dxa"/>
            <w:tcBorders>
              <w:top w:val="single"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3" w:type="dxa"/>
            <w:tcBorders>
              <w:top w:val="single"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94" w:type="dxa"/>
            <w:tcBorders>
              <w:top w:val="single" w:sz="4" w:space="0" w:color="auto"/>
              <w:left w:val="dotted" w:sz="4" w:space="0" w:color="auto"/>
              <w:bottom w:val="dotted" w:sz="4" w:space="0" w:color="auto"/>
            </w:tcBorders>
            <w:vAlign w:val="center"/>
          </w:tcPr>
          <w:p w:rsidR="003D4F90" w:rsidRPr="00025B12" w:rsidRDefault="003D4F90"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3D4F90" w:rsidRPr="00025B12" w:rsidTr="00D131AA">
        <w:trPr>
          <w:trHeight w:val="360"/>
        </w:trPr>
        <w:tc>
          <w:tcPr>
            <w:tcW w:w="1448" w:type="dxa"/>
            <w:tcBorders>
              <w:top w:val="dotted" w:sz="4" w:space="0" w:color="auto"/>
              <w:bottom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2204"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29"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94" w:type="dxa"/>
            <w:tcBorders>
              <w:top w:val="dotted" w:sz="4" w:space="0" w:color="auto"/>
              <w:left w:val="dotted" w:sz="4" w:space="0" w:color="auto"/>
              <w:bottom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3D4F90" w:rsidRPr="00025B12" w:rsidTr="00D131AA">
        <w:trPr>
          <w:trHeight w:val="360"/>
        </w:trPr>
        <w:tc>
          <w:tcPr>
            <w:tcW w:w="1448" w:type="dxa"/>
            <w:tcBorders>
              <w:top w:val="dotted" w:sz="4" w:space="0" w:color="auto"/>
              <w:bottom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2204" w:type="dxa"/>
            <w:tcBorders>
              <w:top w:val="dotted" w:sz="4" w:space="0" w:color="auto"/>
              <w:left w:val="dotted" w:sz="4" w:space="0" w:color="auto"/>
              <w:bottom w:val="dotted" w:sz="4" w:space="0" w:color="auto"/>
              <w:right w:val="dotted" w:sz="4" w:space="0" w:color="auto"/>
            </w:tcBorders>
            <w:vAlign w:val="center"/>
          </w:tcPr>
          <w:p w:rsidR="003D4F90" w:rsidRPr="00025B12" w:rsidRDefault="00665F1D" w:rsidP="00D131AA">
            <w:pPr>
              <w:spacing w:after="0" w:line="240" w:lineRule="auto"/>
              <w:jc w:val="center"/>
              <w:rPr>
                <w:rFonts w:ascii="Verdana" w:eastAsiaTheme="minorHAnsi" w:hAnsi="Verdana" w:cstheme="minorBidi"/>
                <w:sz w:val="18"/>
                <w:szCs w:val="18"/>
              </w:rPr>
            </w:pPr>
            <w:hyperlink w:anchor="Databáze_nabídky" w:history="1">
              <w:r w:rsidR="003D4F90" w:rsidRPr="00025B12">
                <w:rPr>
                  <w:rStyle w:val="Hypertextovodkaz"/>
                  <w:rFonts w:ascii="Verdana" w:eastAsiaTheme="minorHAnsi" w:hAnsi="Verdana" w:cstheme="minorBidi"/>
                  <w:sz w:val="18"/>
                  <w:szCs w:val="18"/>
                </w:rPr>
                <w:t>Databáze nabídky</w:t>
              </w:r>
            </w:hyperlink>
            <w:r w:rsidR="003D4F90" w:rsidRPr="00025B12">
              <w:rPr>
                <w:rFonts w:ascii="Verdana" w:hAnsi="Verdana"/>
                <w:sz w:val="18"/>
                <w:szCs w:val="18"/>
              </w:rPr>
              <w:t xml:space="preserve"> + </w:t>
            </w:r>
            <w:hyperlink w:anchor="ISSZ" w:history="1">
              <w:r w:rsidR="003D4F90" w:rsidRPr="00025B12">
                <w:rPr>
                  <w:rStyle w:val="Hypertextovodkaz"/>
                  <w:rFonts w:ascii="Verdana" w:hAnsi="Verdana"/>
                  <w:sz w:val="18"/>
                  <w:szCs w:val="18"/>
                </w:rPr>
                <w:t>informační systém služeb zaměstnanosti</w:t>
              </w:r>
            </w:hyperlink>
          </w:p>
        </w:tc>
        <w:tc>
          <w:tcPr>
            <w:tcW w:w="1729"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Provozovatelé databází + MPSV</w:t>
            </w:r>
          </w:p>
        </w:tc>
        <w:tc>
          <w:tcPr>
            <w:tcW w:w="2113"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½ roku</w:t>
            </w:r>
          </w:p>
        </w:tc>
        <w:tc>
          <w:tcPr>
            <w:tcW w:w="1794" w:type="dxa"/>
            <w:tcBorders>
              <w:top w:val="dotted" w:sz="4" w:space="0" w:color="auto"/>
              <w:left w:val="dotted" w:sz="4" w:space="0" w:color="auto"/>
              <w:bottom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2010</w:t>
            </w:r>
          </w:p>
        </w:tc>
      </w:tr>
      <w:tr w:rsidR="003D4F90" w:rsidRPr="00025B12" w:rsidTr="00D131AA">
        <w:trPr>
          <w:trHeight w:val="360"/>
        </w:trPr>
        <w:tc>
          <w:tcPr>
            <w:tcW w:w="1448" w:type="dxa"/>
            <w:tcBorders>
              <w:top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2204" w:type="dxa"/>
            <w:tcBorders>
              <w:top w:val="dotted" w:sz="4" w:space="0" w:color="auto"/>
              <w:left w:val="dotted" w:sz="4" w:space="0" w:color="auto"/>
              <w:right w:val="dotted" w:sz="4" w:space="0" w:color="auto"/>
            </w:tcBorders>
            <w:vAlign w:val="center"/>
          </w:tcPr>
          <w:p w:rsidR="003D4F90" w:rsidRPr="00025B12" w:rsidRDefault="00665F1D" w:rsidP="00D131AA">
            <w:pPr>
              <w:spacing w:after="0" w:line="240" w:lineRule="auto"/>
              <w:jc w:val="center"/>
              <w:rPr>
                <w:rFonts w:ascii="Verdana" w:eastAsiaTheme="minorHAnsi" w:hAnsi="Verdana" w:cstheme="minorBidi"/>
                <w:sz w:val="18"/>
                <w:szCs w:val="18"/>
              </w:rPr>
            </w:pPr>
            <w:hyperlink w:anchor="Databáze_nabídky" w:history="1">
              <w:r w:rsidR="003D4F90" w:rsidRPr="00025B12">
                <w:rPr>
                  <w:rStyle w:val="Hypertextovodkaz"/>
                  <w:rFonts w:ascii="Verdana" w:eastAsiaTheme="minorHAnsi" w:hAnsi="Verdana" w:cstheme="minorBidi"/>
                  <w:sz w:val="18"/>
                  <w:szCs w:val="18"/>
                </w:rPr>
                <w:t>Databáze nabídky</w:t>
              </w:r>
            </w:hyperlink>
            <w:r w:rsidR="003D4F90" w:rsidRPr="00025B12">
              <w:rPr>
                <w:rFonts w:ascii="Verdana" w:hAnsi="Verdana"/>
                <w:sz w:val="18"/>
                <w:szCs w:val="18"/>
              </w:rPr>
              <w:t xml:space="preserve"> + </w:t>
            </w:r>
            <w:hyperlink w:anchor="ISSZ" w:history="1">
              <w:r w:rsidR="003D4F90" w:rsidRPr="00025B12">
                <w:rPr>
                  <w:rStyle w:val="Hypertextovodkaz"/>
                  <w:rFonts w:ascii="Verdana" w:hAnsi="Verdana"/>
                  <w:sz w:val="18"/>
                  <w:szCs w:val="18"/>
                </w:rPr>
                <w:t>informační systém služeb zaměstnanosti</w:t>
              </w:r>
            </w:hyperlink>
          </w:p>
        </w:tc>
        <w:tc>
          <w:tcPr>
            <w:tcW w:w="1729" w:type="dxa"/>
            <w:tcBorders>
              <w:top w:val="dotted" w:sz="4" w:space="0" w:color="auto"/>
              <w:left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Provozovatelé databází + MPSV</w:t>
            </w:r>
          </w:p>
        </w:tc>
        <w:tc>
          <w:tcPr>
            <w:tcW w:w="2113" w:type="dxa"/>
            <w:tcBorders>
              <w:top w:val="dotted" w:sz="4" w:space="0" w:color="auto"/>
              <w:left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½ roku</w:t>
            </w:r>
          </w:p>
        </w:tc>
        <w:tc>
          <w:tcPr>
            <w:tcW w:w="1794" w:type="dxa"/>
            <w:tcBorders>
              <w:top w:val="dotted" w:sz="4" w:space="0" w:color="auto"/>
              <w:lef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2010</w:t>
            </w:r>
          </w:p>
        </w:tc>
      </w:tr>
      <w:tr w:rsidR="003D4F90" w:rsidRPr="00025B12" w:rsidTr="00D131AA">
        <w:trPr>
          <w:trHeight w:val="274"/>
        </w:trPr>
        <w:tc>
          <w:tcPr>
            <w:tcW w:w="7494" w:type="dxa"/>
            <w:gridSpan w:val="4"/>
            <w:shd w:val="clear" w:color="auto" w:fill="663399"/>
          </w:tcPr>
          <w:p w:rsidR="003D4F90" w:rsidRPr="00025B12" w:rsidRDefault="003D4F90" w:rsidP="00D131AA">
            <w:pPr>
              <w:spacing w:after="0" w:line="240" w:lineRule="auto"/>
              <w:jc w:val="center"/>
              <w:rPr>
                <w:rFonts w:ascii="Verdana" w:eastAsiaTheme="minorHAnsi" w:hAnsi="Verdana" w:cstheme="minorBidi"/>
                <w:sz w:val="18"/>
                <w:szCs w:val="18"/>
              </w:rPr>
            </w:pPr>
          </w:p>
        </w:tc>
        <w:tc>
          <w:tcPr>
            <w:tcW w:w="1794" w:type="dxa"/>
            <w:shd w:val="clear" w:color="auto" w:fill="663399"/>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3D4F90" w:rsidRPr="00025B12" w:rsidTr="00D131AA">
        <w:trPr>
          <w:trHeight w:val="1319"/>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3D4F90" w:rsidRPr="00025B12" w:rsidRDefault="003D4F90" w:rsidP="00D131AA">
            <w:pPr>
              <w:ind w:right="34"/>
              <w:jc w:val="both"/>
              <w:rPr>
                <w:rFonts w:ascii="Verdana" w:eastAsiaTheme="minorHAnsi" w:hAnsi="Verdana" w:cstheme="minorBidi"/>
                <w:sz w:val="18"/>
                <w:szCs w:val="18"/>
              </w:rPr>
            </w:pPr>
            <w:r w:rsidRPr="00025B12">
              <w:rPr>
                <w:rFonts w:ascii="Verdana" w:eastAsiaTheme="minorHAnsi" w:hAnsi="Verdana" w:cstheme="minorBidi"/>
                <w:sz w:val="18"/>
                <w:szCs w:val="18"/>
              </w:rPr>
              <w:t xml:space="preserve">Tento indikátor pomáhá porovnat vývoj nabídkové strany dalšího vzdělávání s jeho poptávkovou stranou reprezentovanou volnými pracovními místy. Indikátor vyjadřuje, zda nabídka DV reaguje na strukturu volných pracovních míst a vztahuje se k profesně specifickým kurzů, které je možné přiřadit jednotlivým profesím. </w:t>
            </w:r>
          </w:p>
        </w:tc>
      </w:tr>
      <w:tr w:rsidR="003D4F90" w:rsidRPr="00025B12" w:rsidTr="00D131AA">
        <w:trPr>
          <w:trHeight w:val="992"/>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3D4F90" w:rsidRPr="00025B12" w:rsidRDefault="003D4F90" w:rsidP="00D131AA">
            <w:pPr>
              <w:jc w:val="both"/>
              <w:rPr>
                <w:rFonts w:ascii="Verdana" w:eastAsiaTheme="minorHAnsi" w:hAnsi="Verdana" w:cstheme="minorBidi"/>
                <w:sz w:val="18"/>
                <w:szCs w:val="18"/>
              </w:rPr>
            </w:pPr>
            <w:r w:rsidRPr="00025B12">
              <w:rPr>
                <w:rFonts w:ascii="Verdana" w:eastAsiaTheme="minorHAnsi" w:hAnsi="Verdana" w:cstheme="minorBidi"/>
                <w:sz w:val="18"/>
                <w:szCs w:val="18"/>
              </w:rPr>
              <w:t>Indikátor je vypočten jako počet vzdělávacích kurzů vhodných pro danou profesi vztažený k počtu volných pracovních míst této profesi evidovaných úřady práce.</w:t>
            </w:r>
          </w:p>
          <w:p w:rsidR="003D4F90" w:rsidRPr="00025B12" w:rsidRDefault="003D4F90" w:rsidP="00D131AA">
            <w:pPr>
              <w:jc w:val="both"/>
              <w:rPr>
                <w:rFonts w:ascii="Verdana" w:eastAsiaTheme="minorHAnsi" w:hAnsi="Verdana" w:cstheme="minorBidi"/>
                <w:sz w:val="18"/>
                <w:szCs w:val="18"/>
              </w:rPr>
            </w:pPr>
            <w:r w:rsidRPr="00025B12">
              <w:rPr>
                <w:rFonts w:ascii="Verdana" w:eastAsiaTheme="minorHAnsi" w:hAnsi="Verdana" w:cstheme="minorBidi"/>
                <w:sz w:val="18"/>
                <w:szCs w:val="18"/>
              </w:rPr>
              <w:t>Do indikátoru jsou započteny pouze profesně specifické kurzy, které umožňují přiřazení ke konkrétní profesi. Toto přiřazování proběhlo na základě specifické metodiky kombinující kategorizace používané na portálech a systému klíčových slov. Jeden inzerát může být vhodný i pro více různých profesí. Více o metodice viz podkladová studie</w:t>
            </w:r>
            <w:r w:rsidR="005D28B5" w:rsidRPr="00025B12">
              <w:rPr>
                <w:rFonts w:ascii="Verdana" w:eastAsiaTheme="minorHAnsi" w:hAnsi="Verdana" w:cstheme="minorBidi"/>
                <w:sz w:val="18"/>
                <w:szCs w:val="18"/>
              </w:rPr>
              <w:t xml:space="preserve"> (příloha 5)</w:t>
            </w:r>
            <w:r w:rsidRPr="00025B12">
              <w:rPr>
                <w:rFonts w:ascii="Verdana" w:eastAsiaTheme="minorHAnsi" w:hAnsi="Verdana" w:cstheme="minorBidi"/>
                <w:sz w:val="18"/>
                <w:szCs w:val="18"/>
              </w:rPr>
              <w:t>.</w:t>
            </w:r>
          </w:p>
        </w:tc>
      </w:tr>
      <w:tr w:rsidR="003D4F90" w:rsidRPr="00025B12" w:rsidTr="00D131AA">
        <w:trPr>
          <w:trHeight w:val="1053"/>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3D4F90" w:rsidRPr="00025B12" w:rsidRDefault="003D4F90" w:rsidP="00D131AA">
            <w:pPr>
              <w:jc w:val="both"/>
              <w:rPr>
                <w:rFonts w:ascii="Verdana" w:hAnsi="Verdana"/>
                <w:sz w:val="18"/>
                <w:szCs w:val="18"/>
              </w:rPr>
            </w:pPr>
            <w:r w:rsidRPr="00025B12">
              <w:rPr>
                <w:rFonts w:ascii="Verdana" w:hAnsi="Verdana"/>
                <w:sz w:val="18"/>
                <w:szCs w:val="18"/>
              </w:rPr>
              <w:t>Zdrojem dat pro výpočet indikátoru je databáze nabídky DV inzerovaná na serverech EDUCity a EU-DAT, které umožňují publikaci indikátoru v krajském členění s pololetní periodicitou. Dostupnost data je vázána na spolupráci s provozovateli databází – společnosti Ivitera a Trexima. Z jejich databází jsou výpočty provedeny na základě specifické metodiky (viz podkladová studie</w:t>
            </w:r>
            <w:r w:rsidR="005D28B5" w:rsidRPr="00025B12">
              <w:rPr>
                <w:rFonts w:ascii="Verdana" w:hAnsi="Verdana"/>
                <w:sz w:val="18"/>
                <w:szCs w:val="18"/>
              </w:rPr>
              <w:t xml:space="preserve"> – příloha 5</w:t>
            </w:r>
            <w:r w:rsidRPr="00025B12">
              <w:rPr>
                <w:rFonts w:ascii="Verdana" w:hAnsi="Verdana"/>
                <w:sz w:val="18"/>
                <w:szCs w:val="18"/>
              </w:rPr>
              <w:t>). Zdrojem pro informaci o volných pracovních místech je databáze MPSV.</w:t>
            </w:r>
          </w:p>
          <w:p w:rsidR="003D4F90" w:rsidRPr="00025B12" w:rsidRDefault="003D4F90" w:rsidP="00D131AA">
            <w:pPr>
              <w:jc w:val="both"/>
              <w:rPr>
                <w:rFonts w:ascii="Verdana" w:eastAsiaTheme="minorHAnsi" w:hAnsi="Verdana" w:cstheme="minorBidi"/>
                <w:sz w:val="18"/>
                <w:szCs w:val="18"/>
              </w:rPr>
            </w:pPr>
            <w:r w:rsidRPr="00025B12">
              <w:rPr>
                <w:rFonts w:ascii="Verdana" w:eastAsiaTheme="minorHAnsi" w:hAnsi="Verdana" w:cstheme="minorBidi"/>
                <w:sz w:val="18"/>
                <w:szCs w:val="18"/>
              </w:rPr>
              <w:t>Oba datové zdroje umožňují publikaci indikátoru v krajském členění. Sledování podrobného profesního a zároveň krajské členění je však problematické a způsob publikace indikátoru proto musí být ještě upřesněn.</w:t>
            </w:r>
          </w:p>
        </w:tc>
      </w:tr>
      <w:tr w:rsidR="003D4F90" w:rsidRPr="00025B12" w:rsidTr="003D4F90">
        <w:trPr>
          <w:trHeight w:val="2861"/>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3D4F90" w:rsidRPr="00025B12" w:rsidRDefault="003D4F90" w:rsidP="00D131AA">
            <w:pPr>
              <w:jc w:val="both"/>
              <w:rPr>
                <w:rFonts w:ascii="Verdana" w:hAnsi="Verdana"/>
                <w:sz w:val="18"/>
                <w:szCs w:val="18"/>
              </w:rPr>
            </w:pPr>
            <w:r w:rsidRPr="00025B12">
              <w:rPr>
                <w:rFonts w:ascii="Verdana" w:hAnsi="Verdana"/>
                <w:sz w:val="18"/>
                <w:szCs w:val="18"/>
              </w:rPr>
              <w:t xml:space="preserve">Úřady práce ve skutečnosti neinformují o všech pracovních místech na trhu. V budoucnu by bylo vhodné nahradit informace z úřadů práce o volných </w:t>
            </w:r>
            <w:r w:rsidR="00E26E2D" w:rsidRPr="00025B12">
              <w:rPr>
                <w:rFonts w:ascii="Verdana" w:hAnsi="Verdana"/>
                <w:sz w:val="18"/>
                <w:szCs w:val="18"/>
              </w:rPr>
              <w:t>pracovních</w:t>
            </w:r>
            <w:r w:rsidRPr="00025B12">
              <w:rPr>
                <w:rFonts w:ascii="Verdana" w:hAnsi="Verdana"/>
                <w:sz w:val="18"/>
                <w:szCs w:val="18"/>
              </w:rPr>
              <w:t xml:space="preserve"> místech </w:t>
            </w:r>
            <w:r w:rsidR="00E26E2D" w:rsidRPr="00025B12">
              <w:rPr>
                <w:rFonts w:ascii="Verdana" w:hAnsi="Verdana"/>
                <w:sz w:val="18"/>
                <w:szCs w:val="18"/>
              </w:rPr>
              <w:t>komplexnější</w:t>
            </w:r>
            <w:r w:rsidRPr="00025B12">
              <w:rPr>
                <w:rFonts w:ascii="Verdana" w:hAnsi="Verdana"/>
                <w:sz w:val="18"/>
                <w:szCs w:val="18"/>
              </w:rPr>
              <w:t xml:space="preserve"> databází, jak bylo navrženo v projektu Krátkodobé trendy v poptávce po pracovní síle realizovaném pro MPSV v roce 2010.</w:t>
            </w:r>
          </w:p>
          <w:p w:rsidR="003D4F90" w:rsidRPr="00025B12" w:rsidRDefault="003D4F90" w:rsidP="00D131AA">
            <w:pPr>
              <w:jc w:val="both"/>
              <w:rPr>
                <w:rFonts w:ascii="Verdana" w:hAnsi="Verdana"/>
                <w:sz w:val="18"/>
                <w:szCs w:val="18"/>
              </w:rPr>
            </w:pPr>
            <w:r w:rsidRPr="00025B12">
              <w:rPr>
                <w:rFonts w:ascii="Verdana" w:hAnsi="Verdana"/>
                <w:sz w:val="18"/>
                <w:szCs w:val="18"/>
              </w:rPr>
              <w:t>Průběžně je jednáno o zapojení třetí největší databáze EduMenu (společnost Education, s.r.o.), zatím se ale data nepodařilo získat.</w:t>
            </w:r>
          </w:p>
          <w:p w:rsidR="00915D71" w:rsidRPr="00025B12" w:rsidRDefault="00915D71" w:rsidP="00D131AA">
            <w:pPr>
              <w:jc w:val="both"/>
              <w:rPr>
                <w:rFonts w:ascii="Verdana" w:hAnsi="Verdana"/>
                <w:sz w:val="18"/>
                <w:szCs w:val="18"/>
              </w:rPr>
            </w:pPr>
            <w:r w:rsidRPr="00025B12">
              <w:rPr>
                <w:rFonts w:ascii="Verdana" w:hAnsi="Verdana"/>
                <w:sz w:val="18"/>
                <w:szCs w:val="18"/>
              </w:rPr>
              <w:t>V rámci přechodu mezi klasifikacemi KZAM a ISCO bude třeba upravit seznam klíčových slov.</w:t>
            </w:r>
          </w:p>
        </w:tc>
      </w:tr>
    </w:tbl>
    <w:p w:rsidR="003D4F90" w:rsidRPr="00025B12" w:rsidRDefault="003D4F90" w:rsidP="000C6631">
      <w:pPr>
        <w:jc w:val="both"/>
        <w:outlineLvl w:val="0"/>
        <w:rPr>
          <w:rFonts w:ascii="Verdana" w:hAnsi="Verdan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1642"/>
        <w:gridCol w:w="2291"/>
        <w:gridCol w:w="2113"/>
        <w:gridCol w:w="1794"/>
      </w:tblGrid>
      <w:tr w:rsidR="003D4F90" w:rsidRPr="00025B12" w:rsidTr="00D131AA">
        <w:trPr>
          <w:trHeight w:val="425"/>
        </w:trPr>
        <w:tc>
          <w:tcPr>
            <w:tcW w:w="1448" w:type="dxa"/>
            <w:tcBorders>
              <w:bottom w:val="single" w:sz="4" w:space="0" w:color="auto"/>
              <w:right w:val="single" w:sz="4" w:space="0" w:color="auto"/>
            </w:tcBorders>
            <w:shd w:val="clear" w:color="auto" w:fill="663399"/>
            <w:vAlign w:val="center"/>
          </w:tcPr>
          <w:p w:rsidR="003D4F90" w:rsidRPr="00025B12" w:rsidRDefault="003D4F90" w:rsidP="00D131AA">
            <w:pPr>
              <w:pStyle w:val="Kd"/>
              <w:rPr>
                <w:sz w:val="18"/>
                <w:szCs w:val="18"/>
              </w:rPr>
            </w:pPr>
            <w:r w:rsidRPr="00025B12">
              <w:rPr>
                <w:sz w:val="18"/>
                <w:szCs w:val="18"/>
              </w:rPr>
              <w:lastRenderedPageBreak/>
              <w:br w:type="page"/>
            </w:r>
            <w:r w:rsidRPr="00025B12">
              <w:rPr>
                <w:sz w:val="18"/>
                <w:szCs w:val="18"/>
              </w:rPr>
              <w:br w:type="page"/>
            </w:r>
            <w:bookmarkStart w:id="97" w:name="III21"/>
            <w:r w:rsidRPr="00025B12">
              <w:rPr>
                <w:sz w:val="18"/>
                <w:szCs w:val="18"/>
              </w:rPr>
              <w:t>III.2.d1</w:t>
            </w:r>
            <w:bookmarkEnd w:id="97"/>
          </w:p>
        </w:tc>
        <w:tc>
          <w:tcPr>
            <w:tcW w:w="7840" w:type="dxa"/>
            <w:gridSpan w:val="4"/>
            <w:vMerge w:val="restart"/>
            <w:tcBorders>
              <w:top w:val="single" w:sz="4" w:space="0" w:color="auto"/>
              <w:left w:val="single" w:sz="4" w:space="0" w:color="auto"/>
              <w:right w:val="single" w:sz="4" w:space="0" w:color="auto"/>
            </w:tcBorders>
            <w:shd w:val="clear" w:color="auto" w:fill="663399"/>
            <w:vAlign w:val="center"/>
          </w:tcPr>
          <w:p w:rsidR="003D4F90" w:rsidRPr="00025B12" w:rsidRDefault="003D4F90"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Počty nabízených kurzů podle obsahového zaměření</w:t>
            </w:r>
          </w:p>
        </w:tc>
      </w:tr>
      <w:tr w:rsidR="003D4F90" w:rsidRPr="00025B12" w:rsidTr="00D131AA">
        <w:trPr>
          <w:trHeight w:val="360"/>
        </w:trPr>
        <w:tc>
          <w:tcPr>
            <w:tcW w:w="1448" w:type="dxa"/>
            <w:tcBorders>
              <w:top w:val="single" w:sz="4" w:space="0" w:color="auto"/>
              <w:bottom w:val="single" w:sz="4" w:space="0" w:color="auto"/>
              <w:right w:val="single" w:sz="4" w:space="0" w:color="auto"/>
            </w:tcBorders>
            <w:shd w:val="clear" w:color="auto" w:fill="663399"/>
            <w:vAlign w:val="center"/>
          </w:tcPr>
          <w:p w:rsidR="003D4F90" w:rsidRPr="00025B12" w:rsidRDefault="003D4F90"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40" w:type="dxa"/>
            <w:gridSpan w:val="4"/>
            <w:vMerge/>
            <w:tcBorders>
              <w:left w:val="single" w:sz="4" w:space="0" w:color="auto"/>
              <w:bottom w:val="single" w:sz="4" w:space="0" w:color="auto"/>
              <w:right w:val="single"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p>
        </w:tc>
      </w:tr>
      <w:tr w:rsidR="003D4F90" w:rsidRPr="00025B12" w:rsidTr="00296FE3">
        <w:trPr>
          <w:trHeight w:val="360"/>
        </w:trPr>
        <w:tc>
          <w:tcPr>
            <w:tcW w:w="1448" w:type="dxa"/>
            <w:tcBorders>
              <w:top w:val="single" w:sz="4" w:space="0" w:color="auto"/>
              <w:bottom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sz w:val="18"/>
                <w:szCs w:val="18"/>
              </w:rPr>
            </w:pPr>
          </w:p>
        </w:tc>
        <w:tc>
          <w:tcPr>
            <w:tcW w:w="1642" w:type="dxa"/>
            <w:tcBorders>
              <w:top w:val="single"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91" w:type="dxa"/>
            <w:tcBorders>
              <w:top w:val="single"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3" w:type="dxa"/>
            <w:tcBorders>
              <w:top w:val="single"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94" w:type="dxa"/>
            <w:tcBorders>
              <w:top w:val="single" w:sz="4" w:space="0" w:color="auto"/>
              <w:left w:val="dotted" w:sz="4" w:space="0" w:color="auto"/>
              <w:bottom w:val="dotted" w:sz="4" w:space="0" w:color="auto"/>
            </w:tcBorders>
            <w:vAlign w:val="center"/>
          </w:tcPr>
          <w:p w:rsidR="003D4F90" w:rsidRPr="00025B12" w:rsidRDefault="003D4F90"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3D4F90" w:rsidRPr="00025B12" w:rsidTr="00D131AA">
        <w:trPr>
          <w:trHeight w:val="360"/>
        </w:trPr>
        <w:tc>
          <w:tcPr>
            <w:tcW w:w="1448" w:type="dxa"/>
            <w:tcBorders>
              <w:top w:val="dotted" w:sz="4" w:space="0" w:color="auto"/>
              <w:bottom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42"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91"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94" w:type="dxa"/>
            <w:tcBorders>
              <w:top w:val="dotted" w:sz="4" w:space="0" w:color="auto"/>
              <w:left w:val="dotted" w:sz="4" w:space="0" w:color="auto"/>
              <w:bottom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3D4F90" w:rsidRPr="00025B12" w:rsidTr="00D131AA">
        <w:trPr>
          <w:trHeight w:val="360"/>
        </w:trPr>
        <w:tc>
          <w:tcPr>
            <w:tcW w:w="1448" w:type="dxa"/>
            <w:tcBorders>
              <w:top w:val="dotted" w:sz="4" w:space="0" w:color="auto"/>
              <w:bottom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42" w:type="dxa"/>
            <w:tcBorders>
              <w:top w:val="dotted" w:sz="4" w:space="0" w:color="auto"/>
              <w:left w:val="dotted" w:sz="4" w:space="0" w:color="auto"/>
              <w:bottom w:val="dotted" w:sz="4" w:space="0" w:color="auto"/>
              <w:right w:val="dotted" w:sz="4" w:space="0" w:color="auto"/>
            </w:tcBorders>
            <w:vAlign w:val="center"/>
          </w:tcPr>
          <w:p w:rsidR="003D4F90" w:rsidRPr="00025B12" w:rsidRDefault="00665F1D" w:rsidP="00D131AA">
            <w:pPr>
              <w:spacing w:after="0" w:line="240" w:lineRule="auto"/>
              <w:jc w:val="center"/>
              <w:rPr>
                <w:rFonts w:ascii="Verdana" w:eastAsiaTheme="minorHAnsi" w:hAnsi="Verdana" w:cstheme="minorBidi"/>
                <w:sz w:val="18"/>
                <w:szCs w:val="18"/>
              </w:rPr>
            </w:pPr>
            <w:hyperlink w:anchor="Databáze_nabídky" w:history="1">
              <w:r w:rsidR="003D4F90" w:rsidRPr="00025B12">
                <w:rPr>
                  <w:rStyle w:val="Hypertextovodkaz"/>
                  <w:rFonts w:ascii="Verdana" w:eastAsiaTheme="minorHAnsi" w:hAnsi="Verdana" w:cstheme="minorBidi"/>
                  <w:sz w:val="18"/>
                  <w:szCs w:val="18"/>
                </w:rPr>
                <w:t>Databáze nabídky</w:t>
              </w:r>
            </w:hyperlink>
          </w:p>
        </w:tc>
        <w:tc>
          <w:tcPr>
            <w:tcW w:w="2291"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Provozovatelé databází</w:t>
            </w:r>
          </w:p>
        </w:tc>
        <w:tc>
          <w:tcPr>
            <w:tcW w:w="2113"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½ roku</w:t>
            </w:r>
          </w:p>
        </w:tc>
        <w:tc>
          <w:tcPr>
            <w:tcW w:w="1794" w:type="dxa"/>
            <w:tcBorders>
              <w:top w:val="dotted" w:sz="4" w:space="0" w:color="auto"/>
              <w:left w:val="dotted" w:sz="4" w:space="0" w:color="auto"/>
              <w:bottom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2010</w:t>
            </w:r>
          </w:p>
        </w:tc>
      </w:tr>
      <w:tr w:rsidR="003D4F90" w:rsidRPr="00025B12" w:rsidTr="00D131AA">
        <w:trPr>
          <w:trHeight w:val="360"/>
        </w:trPr>
        <w:tc>
          <w:tcPr>
            <w:tcW w:w="1448" w:type="dxa"/>
            <w:tcBorders>
              <w:top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42" w:type="dxa"/>
            <w:tcBorders>
              <w:top w:val="dotted" w:sz="4" w:space="0" w:color="auto"/>
              <w:left w:val="dotted" w:sz="4" w:space="0" w:color="auto"/>
              <w:right w:val="dotted" w:sz="4" w:space="0" w:color="auto"/>
            </w:tcBorders>
            <w:vAlign w:val="center"/>
          </w:tcPr>
          <w:p w:rsidR="003D4F90" w:rsidRPr="00025B12" w:rsidRDefault="00665F1D" w:rsidP="00D131AA">
            <w:pPr>
              <w:spacing w:after="0" w:line="240" w:lineRule="auto"/>
              <w:jc w:val="center"/>
              <w:rPr>
                <w:rFonts w:ascii="Verdana" w:eastAsiaTheme="minorHAnsi" w:hAnsi="Verdana" w:cstheme="minorBidi"/>
                <w:sz w:val="18"/>
                <w:szCs w:val="18"/>
              </w:rPr>
            </w:pPr>
            <w:hyperlink w:anchor="Databáze_nabídky" w:history="1">
              <w:r w:rsidR="003D4F90" w:rsidRPr="00025B12">
                <w:rPr>
                  <w:rStyle w:val="Hypertextovodkaz"/>
                  <w:rFonts w:ascii="Verdana" w:eastAsiaTheme="minorHAnsi" w:hAnsi="Verdana" w:cstheme="minorBidi"/>
                  <w:sz w:val="18"/>
                  <w:szCs w:val="18"/>
                </w:rPr>
                <w:t>Databáze nabídky</w:t>
              </w:r>
            </w:hyperlink>
          </w:p>
        </w:tc>
        <w:tc>
          <w:tcPr>
            <w:tcW w:w="2291" w:type="dxa"/>
            <w:tcBorders>
              <w:top w:val="dotted" w:sz="4" w:space="0" w:color="auto"/>
              <w:left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Provozovatelé databází</w:t>
            </w:r>
          </w:p>
        </w:tc>
        <w:tc>
          <w:tcPr>
            <w:tcW w:w="2113" w:type="dxa"/>
            <w:tcBorders>
              <w:top w:val="dotted" w:sz="4" w:space="0" w:color="auto"/>
              <w:left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½ roku</w:t>
            </w:r>
          </w:p>
        </w:tc>
        <w:tc>
          <w:tcPr>
            <w:tcW w:w="1794" w:type="dxa"/>
            <w:tcBorders>
              <w:top w:val="dotted" w:sz="4" w:space="0" w:color="auto"/>
              <w:lef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2010</w:t>
            </w:r>
          </w:p>
        </w:tc>
      </w:tr>
      <w:tr w:rsidR="003D4F90" w:rsidRPr="00025B12" w:rsidTr="00D131AA">
        <w:trPr>
          <w:trHeight w:val="274"/>
        </w:trPr>
        <w:tc>
          <w:tcPr>
            <w:tcW w:w="7494" w:type="dxa"/>
            <w:gridSpan w:val="4"/>
            <w:shd w:val="clear" w:color="auto" w:fill="663399"/>
          </w:tcPr>
          <w:p w:rsidR="003D4F90" w:rsidRPr="00025B12" w:rsidRDefault="003D4F90" w:rsidP="00D131AA">
            <w:pPr>
              <w:spacing w:after="0" w:line="240" w:lineRule="auto"/>
              <w:jc w:val="center"/>
              <w:rPr>
                <w:rFonts w:ascii="Verdana" w:eastAsiaTheme="minorHAnsi" w:hAnsi="Verdana" w:cstheme="minorBidi"/>
                <w:sz w:val="18"/>
                <w:szCs w:val="18"/>
              </w:rPr>
            </w:pPr>
          </w:p>
        </w:tc>
        <w:tc>
          <w:tcPr>
            <w:tcW w:w="1794" w:type="dxa"/>
            <w:shd w:val="clear" w:color="auto" w:fill="663399"/>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3D4F90" w:rsidRPr="00025B12" w:rsidTr="00D131AA">
        <w:trPr>
          <w:trHeight w:val="1319"/>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3D4F90" w:rsidRPr="00025B12" w:rsidRDefault="003D4F90" w:rsidP="002D1439">
            <w:pPr>
              <w:ind w:right="34"/>
              <w:jc w:val="both"/>
              <w:rPr>
                <w:rFonts w:ascii="Verdana" w:hAnsi="Verdana"/>
                <w:sz w:val="18"/>
                <w:szCs w:val="18"/>
              </w:rPr>
            </w:pPr>
            <w:r w:rsidRPr="00025B12">
              <w:rPr>
                <w:rFonts w:ascii="Verdana" w:hAnsi="Verdana"/>
                <w:sz w:val="18"/>
                <w:szCs w:val="18"/>
              </w:rPr>
              <w:t xml:space="preserve">Indikátor </w:t>
            </w:r>
            <w:r w:rsidR="002D1439" w:rsidRPr="00025B12">
              <w:rPr>
                <w:rFonts w:ascii="Verdana" w:hAnsi="Verdana"/>
                <w:sz w:val="18"/>
                <w:szCs w:val="18"/>
              </w:rPr>
              <w:t xml:space="preserve">je doplňkem k indikátoru III.2.1 a </w:t>
            </w:r>
            <w:r w:rsidRPr="00025B12">
              <w:rPr>
                <w:rFonts w:ascii="Verdana" w:hAnsi="Verdana"/>
                <w:sz w:val="18"/>
                <w:szCs w:val="18"/>
              </w:rPr>
              <w:t xml:space="preserve">představuje </w:t>
            </w:r>
            <w:r w:rsidR="002D1439" w:rsidRPr="00025B12">
              <w:rPr>
                <w:rFonts w:ascii="Verdana" w:hAnsi="Verdana"/>
                <w:sz w:val="18"/>
                <w:szCs w:val="18"/>
              </w:rPr>
              <w:t xml:space="preserve">další </w:t>
            </w:r>
            <w:r w:rsidRPr="00025B12">
              <w:rPr>
                <w:rFonts w:ascii="Verdana" w:hAnsi="Verdana"/>
                <w:sz w:val="18"/>
                <w:szCs w:val="18"/>
              </w:rPr>
              <w:t>pohled na nabídku dalšího neformálního vzdělávání podle zaměření kurzů.</w:t>
            </w:r>
            <w:r w:rsidR="002D1439" w:rsidRPr="00025B12">
              <w:rPr>
                <w:rFonts w:ascii="Verdana" w:hAnsi="Verdana"/>
                <w:sz w:val="18"/>
                <w:szCs w:val="18"/>
              </w:rPr>
              <w:t xml:space="preserve"> Na rozdíl od indikátoru III.2.d1 informuje o struktuře kurzů dle obsahu, nikoli však o kapacitě míst v kurzech.</w:t>
            </w:r>
          </w:p>
        </w:tc>
      </w:tr>
      <w:tr w:rsidR="003D4F90" w:rsidRPr="00025B12" w:rsidTr="00D131AA">
        <w:trPr>
          <w:trHeight w:val="992"/>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3D4F90" w:rsidRPr="00025B12" w:rsidRDefault="003D4F90" w:rsidP="00D131AA">
            <w:pPr>
              <w:ind w:right="34"/>
              <w:jc w:val="both"/>
              <w:rPr>
                <w:rFonts w:ascii="Verdana" w:hAnsi="Verdana"/>
                <w:sz w:val="18"/>
                <w:szCs w:val="18"/>
              </w:rPr>
            </w:pPr>
            <w:r w:rsidRPr="00025B12">
              <w:rPr>
                <w:rFonts w:ascii="Verdana" w:hAnsi="Verdana"/>
                <w:sz w:val="18"/>
                <w:szCs w:val="18"/>
              </w:rPr>
              <w:t xml:space="preserve">Znázorňuje absolutní počty kurzů nabízené ve sledovaném referenčním období a jejich strukturu z hlediska obsahové zaměření vzdělávání v %. </w:t>
            </w:r>
          </w:p>
          <w:p w:rsidR="003D4F90" w:rsidRPr="00025B12" w:rsidRDefault="003D4F90" w:rsidP="00D131AA">
            <w:pPr>
              <w:ind w:right="34"/>
              <w:jc w:val="both"/>
              <w:rPr>
                <w:rFonts w:ascii="Verdana" w:hAnsi="Verdana"/>
                <w:sz w:val="18"/>
                <w:szCs w:val="18"/>
              </w:rPr>
            </w:pPr>
            <w:r w:rsidRPr="00025B12">
              <w:rPr>
                <w:rFonts w:ascii="Verdana" w:hAnsi="Verdana"/>
                <w:sz w:val="18"/>
                <w:szCs w:val="18"/>
              </w:rPr>
              <w:t>Nabídka kurzů je podle svého obsahového zaměření členěna na</w:t>
            </w:r>
          </w:p>
          <w:p w:rsidR="000A3C2C" w:rsidRPr="00025B12" w:rsidRDefault="000A3C2C" w:rsidP="000A3C2C">
            <w:pPr>
              <w:numPr>
                <w:ilvl w:val="0"/>
                <w:numId w:val="22"/>
              </w:numPr>
              <w:spacing w:after="0" w:line="240" w:lineRule="auto"/>
              <w:ind w:right="34"/>
              <w:jc w:val="both"/>
              <w:rPr>
                <w:rFonts w:ascii="Verdana" w:eastAsia="Times New Roman" w:hAnsi="Verdana"/>
                <w:sz w:val="18"/>
                <w:szCs w:val="18"/>
              </w:rPr>
            </w:pPr>
            <w:r w:rsidRPr="00025B12">
              <w:rPr>
                <w:rFonts w:ascii="Verdana" w:eastAsia="Times New Roman" w:hAnsi="Verdana"/>
                <w:sz w:val="18"/>
                <w:szCs w:val="18"/>
              </w:rPr>
              <w:t>kurzy jazykové</w:t>
            </w:r>
          </w:p>
          <w:p w:rsidR="000A3C2C" w:rsidRPr="00025B12" w:rsidRDefault="000A3C2C" w:rsidP="000A3C2C">
            <w:pPr>
              <w:numPr>
                <w:ilvl w:val="0"/>
                <w:numId w:val="22"/>
              </w:numPr>
              <w:spacing w:after="0" w:line="240" w:lineRule="auto"/>
              <w:ind w:right="34"/>
              <w:jc w:val="both"/>
              <w:rPr>
                <w:rFonts w:ascii="Verdana" w:eastAsia="Times New Roman" w:hAnsi="Verdana"/>
                <w:sz w:val="18"/>
                <w:szCs w:val="18"/>
              </w:rPr>
            </w:pPr>
            <w:r w:rsidRPr="00025B12">
              <w:rPr>
                <w:rFonts w:ascii="Verdana" w:eastAsia="Times New Roman" w:hAnsi="Verdana"/>
                <w:sz w:val="18"/>
                <w:szCs w:val="18"/>
              </w:rPr>
              <w:t>kurzy profesní:</w:t>
            </w:r>
          </w:p>
          <w:p w:rsidR="000A3C2C" w:rsidRPr="00025B12" w:rsidRDefault="000A3C2C" w:rsidP="000A3C2C">
            <w:pPr>
              <w:numPr>
                <w:ilvl w:val="1"/>
                <w:numId w:val="23"/>
              </w:numPr>
              <w:spacing w:after="0" w:line="240" w:lineRule="auto"/>
              <w:ind w:right="34"/>
              <w:jc w:val="both"/>
              <w:rPr>
                <w:rFonts w:ascii="Verdana" w:eastAsiaTheme="minorHAnsi" w:hAnsi="Verdana"/>
                <w:sz w:val="18"/>
                <w:szCs w:val="18"/>
              </w:rPr>
            </w:pPr>
            <w:r w:rsidRPr="00025B12">
              <w:rPr>
                <w:rFonts w:ascii="Verdana" w:hAnsi="Verdana"/>
                <w:sz w:val="18"/>
                <w:szCs w:val="18"/>
              </w:rPr>
              <w:t>všeobecné (IT, měkké dovednosti a ostatní – např. BOZP, řidičské průkazy)</w:t>
            </w:r>
          </w:p>
          <w:p w:rsidR="000A3C2C" w:rsidRPr="00025B12" w:rsidRDefault="000A3C2C" w:rsidP="000A3C2C">
            <w:pPr>
              <w:numPr>
                <w:ilvl w:val="1"/>
                <w:numId w:val="23"/>
              </w:numPr>
              <w:spacing w:after="0" w:line="240" w:lineRule="auto"/>
              <w:ind w:right="34"/>
              <w:jc w:val="both"/>
              <w:rPr>
                <w:rFonts w:ascii="Verdana" w:hAnsi="Verdana"/>
                <w:sz w:val="18"/>
                <w:szCs w:val="18"/>
              </w:rPr>
            </w:pPr>
            <w:r w:rsidRPr="00025B12">
              <w:rPr>
                <w:rFonts w:ascii="Verdana" w:hAnsi="Verdana"/>
                <w:sz w:val="18"/>
                <w:szCs w:val="18"/>
              </w:rPr>
              <w:t>odborné – specifické (specifické pro jednotlivé profese – podrobněji viz indikátor III.2.2)</w:t>
            </w:r>
          </w:p>
          <w:p w:rsidR="000A3C2C" w:rsidRPr="00025B12" w:rsidRDefault="000A3C2C" w:rsidP="000A3C2C">
            <w:pPr>
              <w:numPr>
                <w:ilvl w:val="0"/>
                <w:numId w:val="23"/>
              </w:numPr>
              <w:jc w:val="both"/>
              <w:rPr>
                <w:rFonts w:ascii="Verdana" w:eastAsia="Times New Roman" w:hAnsi="Verdana"/>
                <w:b/>
                <w:bCs/>
                <w:sz w:val="18"/>
                <w:szCs w:val="18"/>
              </w:rPr>
            </w:pPr>
            <w:r w:rsidRPr="00025B12">
              <w:rPr>
                <w:rFonts w:ascii="Verdana" w:eastAsia="Times New Roman" w:hAnsi="Verdana"/>
                <w:sz w:val="18"/>
                <w:szCs w:val="18"/>
              </w:rPr>
              <w:t>kurzy zájmové a nezařazené.</w:t>
            </w:r>
          </w:p>
          <w:p w:rsidR="003D4F90" w:rsidRPr="00025B12" w:rsidRDefault="003D4F90" w:rsidP="00401BCA">
            <w:pPr>
              <w:jc w:val="both"/>
              <w:rPr>
                <w:rFonts w:ascii="Verdana" w:eastAsiaTheme="minorHAnsi" w:hAnsi="Verdana"/>
                <w:sz w:val="18"/>
                <w:szCs w:val="18"/>
              </w:rPr>
            </w:pPr>
            <w:r w:rsidRPr="00025B12">
              <w:rPr>
                <w:rFonts w:ascii="Verdana" w:hAnsi="Verdana"/>
                <w:sz w:val="18"/>
                <w:szCs w:val="18"/>
              </w:rPr>
              <w:t xml:space="preserve">Zkoumané referenční období zahrnuje všechny kurzy, které byly v nabídce v době referenčního data a byly realizovány do následujícího referenčního data. Referenčními daty budou pro pravidelné sledování </w:t>
            </w:r>
            <w:r w:rsidR="00401BCA" w:rsidRPr="00025B12">
              <w:rPr>
                <w:rFonts w:ascii="Verdana" w:hAnsi="Verdana"/>
                <w:sz w:val="18"/>
                <w:szCs w:val="18"/>
              </w:rPr>
              <w:t>září a leden</w:t>
            </w:r>
            <w:r w:rsidRPr="00025B12">
              <w:rPr>
                <w:rFonts w:ascii="Verdana" w:hAnsi="Verdana"/>
                <w:sz w:val="18"/>
                <w:szCs w:val="18"/>
              </w:rPr>
              <w:t>. Pilotní verze dat v příloze</w:t>
            </w:r>
            <w:r w:rsidR="00401BCA" w:rsidRPr="00025B12">
              <w:rPr>
                <w:rFonts w:ascii="Verdana" w:hAnsi="Verdana"/>
                <w:sz w:val="18"/>
                <w:szCs w:val="18"/>
              </w:rPr>
              <w:t xml:space="preserve"> 4 obsahuje údaje k referenčním datů.</w:t>
            </w:r>
            <w:r w:rsidRPr="00025B12">
              <w:rPr>
                <w:rFonts w:ascii="Verdana" w:hAnsi="Verdana"/>
                <w:sz w:val="18"/>
                <w:szCs w:val="18"/>
              </w:rPr>
              <w:t xml:space="preserve"> 3.11.2010</w:t>
            </w:r>
            <w:r w:rsidR="0053516C" w:rsidRPr="00025B12">
              <w:rPr>
                <w:rFonts w:ascii="Verdana" w:hAnsi="Verdana"/>
                <w:sz w:val="18"/>
                <w:szCs w:val="18"/>
              </w:rPr>
              <w:t xml:space="preserve"> a 30.1.2011</w:t>
            </w:r>
            <w:r w:rsidRPr="00025B12">
              <w:rPr>
                <w:rFonts w:ascii="Verdana" w:hAnsi="Verdana"/>
                <w:sz w:val="18"/>
                <w:szCs w:val="18"/>
              </w:rPr>
              <w:t>.</w:t>
            </w:r>
          </w:p>
        </w:tc>
      </w:tr>
      <w:tr w:rsidR="003D4F90" w:rsidRPr="00025B12" w:rsidTr="00D131AA">
        <w:trPr>
          <w:trHeight w:val="1053"/>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3D4F90" w:rsidRPr="00025B12" w:rsidRDefault="003D4F90" w:rsidP="00D131AA">
            <w:pPr>
              <w:jc w:val="both"/>
              <w:rPr>
                <w:rFonts w:ascii="Verdana" w:hAnsi="Verdana"/>
                <w:sz w:val="18"/>
                <w:szCs w:val="18"/>
              </w:rPr>
            </w:pPr>
            <w:r w:rsidRPr="00025B12">
              <w:rPr>
                <w:rFonts w:ascii="Verdana" w:hAnsi="Verdana"/>
                <w:sz w:val="18"/>
                <w:szCs w:val="18"/>
              </w:rPr>
              <w:t>Zdrojem dat pro výpočet indikátoru je databáze nabídky DV inzerovaná na serverech EDUCity a EU-DAT, které umožňují publikaci indikátoru v krajském členění s pololetní periodicitou. Dostupnost data je vázána na spolupráci s provozovateli databází – společnosti Ivitera a Trexima. Z jejich databází jsou výpočty provedeny na základě specifické metodiky (viz podkladová studie</w:t>
            </w:r>
            <w:r w:rsidR="005D28B5" w:rsidRPr="00025B12">
              <w:rPr>
                <w:rFonts w:ascii="Verdana" w:hAnsi="Verdana"/>
                <w:sz w:val="18"/>
                <w:szCs w:val="18"/>
              </w:rPr>
              <w:t xml:space="preserve"> – příloha 5</w:t>
            </w:r>
            <w:r w:rsidRPr="00025B12">
              <w:rPr>
                <w:rFonts w:ascii="Verdana" w:hAnsi="Verdana"/>
                <w:sz w:val="18"/>
                <w:szCs w:val="18"/>
              </w:rPr>
              <w:t>).</w:t>
            </w:r>
          </w:p>
        </w:tc>
      </w:tr>
      <w:tr w:rsidR="003D4F90" w:rsidRPr="00025B12" w:rsidTr="00D131AA">
        <w:trPr>
          <w:trHeight w:val="837"/>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3D4F90" w:rsidRPr="00025B12" w:rsidRDefault="003D4F90" w:rsidP="00D131AA">
            <w:pPr>
              <w:jc w:val="both"/>
              <w:rPr>
                <w:rFonts w:ascii="Verdana" w:hAnsi="Verdana"/>
                <w:sz w:val="18"/>
                <w:szCs w:val="18"/>
              </w:rPr>
            </w:pPr>
            <w:r w:rsidRPr="00025B12">
              <w:rPr>
                <w:rFonts w:ascii="Verdana" w:hAnsi="Verdana"/>
                <w:sz w:val="18"/>
                <w:szCs w:val="18"/>
              </w:rPr>
              <w:t>Průběžně je jednáno o zapojení třetí největší databáze EduMenu (společnost Education, s.r.o.), zatím se ale data nepodařilo získat.</w:t>
            </w:r>
          </w:p>
          <w:p w:rsidR="002D1439" w:rsidRPr="00025B12" w:rsidRDefault="002D1439" w:rsidP="00D131AA">
            <w:pPr>
              <w:jc w:val="both"/>
              <w:rPr>
                <w:rFonts w:ascii="Verdana" w:hAnsi="Verdana"/>
                <w:sz w:val="18"/>
                <w:szCs w:val="18"/>
              </w:rPr>
            </w:pPr>
            <w:r w:rsidRPr="00025B12">
              <w:rPr>
                <w:rFonts w:ascii="Verdana" w:hAnsi="Verdana"/>
                <w:sz w:val="18"/>
                <w:szCs w:val="18"/>
              </w:rPr>
              <w:t>Indikátor nezahrnuje nabídku kurzů šitých na míru jednotlivým podnikům, obsahuje pouze veřejně inzerovanou nabídku.</w:t>
            </w:r>
          </w:p>
        </w:tc>
      </w:tr>
    </w:tbl>
    <w:p w:rsidR="003D4F90" w:rsidRPr="00025B12" w:rsidRDefault="003D4F90" w:rsidP="000C6631">
      <w:pPr>
        <w:jc w:val="both"/>
        <w:outlineLvl w:val="0"/>
        <w:rPr>
          <w:rFonts w:ascii="Verdana" w:hAnsi="Verdana"/>
          <w:b/>
          <w:sz w:val="24"/>
          <w:szCs w:val="24"/>
        </w:rPr>
      </w:pPr>
    </w:p>
    <w:p w:rsidR="003D4F90" w:rsidRPr="00025B12" w:rsidRDefault="003D4F90" w:rsidP="000C6631">
      <w:pPr>
        <w:jc w:val="both"/>
        <w:outlineLvl w:val="0"/>
        <w:rPr>
          <w:rFonts w:ascii="Verdana" w:hAnsi="Verdana"/>
          <w:b/>
          <w:sz w:val="24"/>
          <w:szCs w:val="24"/>
        </w:rPr>
      </w:pPr>
    </w:p>
    <w:p w:rsidR="007C3E03" w:rsidRPr="00025B12" w:rsidRDefault="007C3E03" w:rsidP="000C6631">
      <w:pPr>
        <w:jc w:val="both"/>
        <w:outlineLvl w:val="0"/>
        <w:rPr>
          <w:rFonts w:ascii="Verdana" w:hAnsi="Verdana"/>
          <w:b/>
          <w:sz w:val="24"/>
          <w:szCs w:val="24"/>
        </w:rPr>
      </w:pPr>
    </w:p>
    <w:p w:rsidR="007C3E03" w:rsidRPr="00025B12" w:rsidRDefault="007C3E03" w:rsidP="000C6631">
      <w:pPr>
        <w:jc w:val="both"/>
        <w:outlineLvl w:val="0"/>
        <w:rPr>
          <w:rFonts w:ascii="Verdana" w:hAnsi="Verdan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2204"/>
        <w:gridCol w:w="1729"/>
        <w:gridCol w:w="2113"/>
        <w:gridCol w:w="1794"/>
      </w:tblGrid>
      <w:tr w:rsidR="003D4F90" w:rsidRPr="00025B12" w:rsidTr="00D131AA">
        <w:trPr>
          <w:trHeight w:val="425"/>
        </w:trPr>
        <w:tc>
          <w:tcPr>
            <w:tcW w:w="1448" w:type="dxa"/>
            <w:tcBorders>
              <w:bottom w:val="single" w:sz="4" w:space="0" w:color="auto"/>
              <w:right w:val="single" w:sz="4" w:space="0" w:color="auto"/>
            </w:tcBorders>
            <w:shd w:val="clear" w:color="auto" w:fill="663399"/>
            <w:vAlign w:val="center"/>
          </w:tcPr>
          <w:p w:rsidR="003D4F90" w:rsidRPr="00025B12" w:rsidRDefault="003D4F90" w:rsidP="00D131AA">
            <w:pPr>
              <w:pStyle w:val="Kd"/>
              <w:rPr>
                <w:sz w:val="18"/>
                <w:szCs w:val="18"/>
              </w:rPr>
            </w:pPr>
            <w:r w:rsidRPr="00025B12">
              <w:rPr>
                <w:sz w:val="18"/>
                <w:szCs w:val="18"/>
              </w:rPr>
              <w:br w:type="page"/>
            </w:r>
            <w:r w:rsidRPr="00025B12">
              <w:rPr>
                <w:rFonts w:eastAsia="Calibri" w:cs="Times New Roman"/>
                <w:b w:val="0"/>
                <w:color w:val="auto"/>
                <w:sz w:val="18"/>
                <w:szCs w:val="18"/>
              </w:rPr>
              <w:br w:type="page"/>
            </w:r>
            <w:r w:rsidRPr="00025B12">
              <w:rPr>
                <w:b w:val="0"/>
                <w:sz w:val="18"/>
                <w:szCs w:val="18"/>
              </w:rPr>
              <w:br w:type="page"/>
            </w:r>
            <w:r w:rsidRPr="00025B12">
              <w:rPr>
                <w:sz w:val="18"/>
                <w:szCs w:val="18"/>
              </w:rPr>
              <w:br w:type="page"/>
            </w:r>
            <w:r w:rsidRPr="00025B12">
              <w:rPr>
                <w:sz w:val="18"/>
                <w:szCs w:val="18"/>
              </w:rPr>
              <w:br w:type="page"/>
            </w:r>
            <w:bookmarkStart w:id="98" w:name="III24"/>
            <w:r w:rsidRPr="00025B12">
              <w:rPr>
                <w:sz w:val="18"/>
                <w:szCs w:val="18"/>
              </w:rPr>
              <w:t>III.2.d</w:t>
            </w:r>
            <w:bookmarkEnd w:id="98"/>
            <w:r w:rsidRPr="00025B12">
              <w:rPr>
                <w:sz w:val="18"/>
                <w:szCs w:val="18"/>
              </w:rPr>
              <w:t>2</w:t>
            </w:r>
          </w:p>
        </w:tc>
        <w:tc>
          <w:tcPr>
            <w:tcW w:w="7840" w:type="dxa"/>
            <w:gridSpan w:val="4"/>
            <w:vMerge w:val="restart"/>
            <w:tcBorders>
              <w:top w:val="single" w:sz="4" w:space="0" w:color="auto"/>
              <w:left w:val="single" w:sz="4" w:space="0" w:color="auto"/>
              <w:right w:val="single" w:sz="4" w:space="0" w:color="auto"/>
            </w:tcBorders>
            <w:shd w:val="clear" w:color="auto" w:fill="663399"/>
            <w:vAlign w:val="center"/>
          </w:tcPr>
          <w:p w:rsidR="003D4F90" w:rsidRPr="00025B12" w:rsidRDefault="003D4F90"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Srovnání struktury nabídky dalšího vzdělávání a struktury zaměstnanosti</w:t>
            </w:r>
          </w:p>
        </w:tc>
      </w:tr>
      <w:tr w:rsidR="003D4F90" w:rsidRPr="00025B12" w:rsidTr="00D131AA">
        <w:trPr>
          <w:trHeight w:val="360"/>
        </w:trPr>
        <w:tc>
          <w:tcPr>
            <w:tcW w:w="1448" w:type="dxa"/>
            <w:tcBorders>
              <w:top w:val="single" w:sz="4" w:space="0" w:color="auto"/>
              <w:bottom w:val="single" w:sz="4" w:space="0" w:color="auto"/>
              <w:right w:val="single" w:sz="4" w:space="0" w:color="auto"/>
            </w:tcBorders>
            <w:shd w:val="clear" w:color="auto" w:fill="663399"/>
            <w:vAlign w:val="center"/>
          </w:tcPr>
          <w:p w:rsidR="003D4F90" w:rsidRPr="00025B12" w:rsidRDefault="003D4F90"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40" w:type="dxa"/>
            <w:gridSpan w:val="4"/>
            <w:vMerge/>
            <w:tcBorders>
              <w:left w:val="single" w:sz="4" w:space="0" w:color="auto"/>
              <w:bottom w:val="single" w:sz="4" w:space="0" w:color="auto"/>
              <w:right w:val="single"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p>
        </w:tc>
      </w:tr>
      <w:tr w:rsidR="003D4F90" w:rsidRPr="00025B12" w:rsidTr="00296FE3">
        <w:trPr>
          <w:trHeight w:val="360"/>
        </w:trPr>
        <w:tc>
          <w:tcPr>
            <w:tcW w:w="1448" w:type="dxa"/>
            <w:tcBorders>
              <w:top w:val="single" w:sz="4" w:space="0" w:color="auto"/>
              <w:bottom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sz w:val="18"/>
                <w:szCs w:val="18"/>
              </w:rPr>
            </w:pPr>
          </w:p>
        </w:tc>
        <w:tc>
          <w:tcPr>
            <w:tcW w:w="2204" w:type="dxa"/>
            <w:tcBorders>
              <w:top w:val="single"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1729" w:type="dxa"/>
            <w:tcBorders>
              <w:top w:val="single"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3" w:type="dxa"/>
            <w:tcBorders>
              <w:top w:val="single"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94" w:type="dxa"/>
            <w:tcBorders>
              <w:top w:val="single" w:sz="4" w:space="0" w:color="auto"/>
              <w:left w:val="dotted" w:sz="4" w:space="0" w:color="auto"/>
              <w:bottom w:val="dotted" w:sz="4" w:space="0" w:color="auto"/>
            </w:tcBorders>
            <w:vAlign w:val="center"/>
          </w:tcPr>
          <w:p w:rsidR="003D4F90" w:rsidRPr="00025B12" w:rsidRDefault="003D4F90"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3D4F90" w:rsidRPr="00025B12" w:rsidTr="00D131AA">
        <w:trPr>
          <w:trHeight w:val="360"/>
        </w:trPr>
        <w:tc>
          <w:tcPr>
            <w:tcW w:w="1448" w:type="dxa"/>
            <w:tcBorders>
              <w:top w:val="dotted" w:sz="4" w:space="0" w:color="auto"/>
              <w:bottom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2204"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29"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3"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94" w:type="dxa"/>
            <w:tcBorders>
              <w:top w:val="dotted" w:sz="4" w:space="0" w:color="auto"/>
              <w:left w:val="dotted" w:sz="4" w:space="0" w:color="auto"/>
              <w:bottom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3D4F90" w:rsidRPr="00025B12" w:rsidTr="00D131AA">
        <w:trPr>
          <w:trHeight w:val="360"/>
        </w:trPr>
        <w:tc>
          <w:tcPr>
            <w:tcW w:w="1448" w:type="dxa"/>
            <w:tcBorders>
              <w:top w:val="dotted" w:sz="4" w:space="0" w:color="auto"/>
              <w:bottom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2204" w:type="dxa"/>
            <w:tcBorders>
              <w:top w:val="dotted" w:sz="4" w:space="0" w:color="auto"/>
              <w:left w:val="dotted" w:sz="4" w:space="0" w:color="auto"/>
              <w:bottom w:val="dotted" w:sz="4" w:space="0" w:color="auto"/>
              <w:right w:val="dotted" w:sz="4" w:space="0" w:color="auto"/>
            </w:tcBorders>
            <w:vAlign w:val="center"/>
          </w:tcPr>
          <w:p w:rsidR="003D4F90" w:rsidRPr="00025B12" w:rsidRDefault="00665F1D" w:rsidP="00D131AA">
            <w:pPr>
              <w:spacing w:after="0" w:line="240" w:lineRule="auto"/>
              <w:jc w:val="center"/>
              <w:rPr>
                <w:rFonts w:ascii="Verdana" w:eastAsiaTheme="minorHAnsi" w:hAnsi="Verdana" w:cstheme="minorBidi"/>
                <w:sz w:val="18"/>
                <w:szCs w:val="18"/>
              </w:rPr>
            </w:pPr>
            <w:hyperlink w:anchor="Databáze_nabídky" w:history="1">
              <w:r w:rsidR="003D4F90" w:rsidRPr="00025B12">
                <w:rPr>
                  <w:rStyle w:val="Hypertextovodkaz"/>
                  <w:rFonts w:ascii="Verdana" w:eastAsiaTheme="minorHAnsi" w:hAnsi="Verdana" w:cstheme="minorBidi"/>
                  <w:sz w:val="18"/>
                  <w:szCs w:val="18"/>
                </w:rPr>
                <w:t>Databáze nabídky</w:t>
              </w:r>
            </w:hyperlink>
            <w:r w:rsidR="003D4F90" w:rsidRPr="00025B12">
              <w:rPr>
                <w:rFonts w:ascii="Verdana" w:hAnsi="Verdana"/>
                <w:sz w:val="18"/>
                <w:szCs w:val="18"/>
              </w:rPr>
              <w:t xml:space="preserve"> + </w:t>
            </w:r>
            <w:hyperlink w:anchor="VŠPS" w:history="1">
              <w:r w:rsidR="003D4F90" w:rsidRPr="00025B12">
                <w:rPr>
                  <w:rStyle w:val="Hypertextovodkaz"/>
                  <w:rFonts w:ascii="Verdana" w:hAnsi="Verdana"/>
                  <w:sz w:val="18"/>
                  <w:szCs w:val="18"/>
                </w:rPr>
                <w:t>VŠPS</w:t>
              </w:r>
            </w:hyperlink>
          </w:p>
        </w:tc>
        <w:tc>
          <w:tcPr>
            <w:tcW w:w="1729"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Provozovatelé databází + ČSÚ</w:t>
            </w:r>
          </w:p>
        </w:tc>
        <w:tc>
          <w:tcPr>
            <w:tcW w:w="2113" w:type="dxa"/>
            <w:tcBorders>
              <w:top w:val="dotted" w:sz="4" w:space="0" w:color="auto"/>
              <w:left w:val="dotted" w:sz="4" w:space="0" w:color="auto"/>
              <w:bottom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½ roku</w:t>
            </w:r>
          </w:p>
        </w:tc>
        <w:tc>
          <w:tcPr>
            <w:tcW w:w="1794" w:type="dxa"/>
            <w:tcBorders>
              <w:top w:val="dotted" w:sz="4" w:space="0" w:color="auto"/>
              <w:left w:val="dotted" w:sz="4" w:space="0" w:color="auto"/>
              <w:bottom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2010</w:t>
            </w:r>
          </w:p>
        </w:tc>
      </w:tr>
      <w:tr w:rsidR="003D4F90" w:rsidRPr="00025B12" w:rsidTr="00D131AA">
        <w:trPr>
          <w:trHeight w:val="360"/>
        </w:trPr>
        <w:tc>
          <w:tcPr>
            <w:tcW w:w="1448" w:type="dxa"/>
            <w:tcBorders>
              <w:top w:val="dotted" w:sz="4" w:space="0" w:color="auto"/>
              <w:right w:val="dotted" w:sz="4" w:space="0" w:color="auto"/>
            </w:tcBorders>
          </w:tcPr>
          <w:p w:rsidR="003D4F90" w:rsidRPr="00025B12" w:rsidRDefault="003D4F90"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2204" w:type="dxa"/>
            <w:tcBorders>
              <w:top w:val="dotted" w:sz="4" w:space="0" w:color="auto"/>
              <w:left w:val="dotted" w:sz="4" w:space="0" w:color="auto"/>
              <w:right w:val="dotted" w:sz="4" w:space="0" w:color="auto"/>
            </w:tcBorders>
            <w:vAlign w:val="center"/>
          </w:tcPr>
          <w:p w:rsidR="003D4F90" w:rsidRPr="00025B12" w:rsidRDefault="00665F1D" w:rsidP="00D131AA">
            <w:pPr>
              <w:spacing w:after="0" w:line="240" w:lineRule="auto"/>
              <w:jc w:val="center"/>
              <w:rPr>
                <w:rFonts w:ascii="Verdana" w:eastAsiaTheme="minorHAnsi" w:hAnsi="Verdana" w:cstheme="minorBidi"/>
                <w:sz w:val="18"/>
                <w:szCs w:val="18"/>
              </w:rPr>
            </w:pPr>
            <w:hyperlink w:anchor="Databáze_nabídky" w:history="1">
              <w:r w:rsidR="003D4F90" w:rsidRPr="00025B12">
                <w:rPr>
                  <w:rStyle w:val="Hypertextovodkaz"/>
                  <w:rFonts w:ascii="Verdana" w:eastAsiaTheme="minorHAnsi" w:hAnsi="Verdana" w:cstheme="minorBidi"/>
                  <w:sz w:val="18"/>
                  <w:szCs w:val="18"/>
                </w:rPr>
                <w:t>Databáze nabídky</w:t>
              </w:r>
            </w:hyperlink>
            <w:r w:rsidR="003D4F90" w:rsidRPr="00025B12">
              <w:rPr>
                <w:rFonts w:ascii="Verdana" w:hAnsi="Verdana"/>
                <w:sz w:val="18"/>
                <w:szCs w:val="18"/>
              </w:rPr>
              <w:t xml:space="preserve"> + </w:t>
            </w:r>
            <w:hyperlink w:anchor="VŠPS" w:history="1">
              <w:r w:rsidR="003D4F90" w:rsidRPr="00025B12">
                <w:rPr>
                  <w:rStyle w:val="Hypertextovodkaz"/>
                  <w:rFonts w:ascii="Verdana" w:hAnsi="Verdana"/>
                  <w:sz w:val="18"/>
                  <w:szCs w:val="18"/>
                </w:rPr>
                <w:t>VŠPS</w:t>
              </w:r>
            </w:hyperlink>
          </w:p>
        </w:tc>
        <w:tc>
          <w:tcPr>
            <w:tcW w:w="1729" w:type="dxa"/>
            <w:tcBorders>
              <w:top w:val="dotted" w:sz="4" w:space="0" w:color="auto"/>
              <w:left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Provozovatelé databází + ČSÚ</w:t>
            </w:r>
          </w:p>
        </w:tc>
        <w:tc>
          <w:tcPr>
            <w:tcW w:w="2113" w:type="dxa"/>
            <w:tcBorders>
              <w:top w:val="dotted" w:sz="4" w:space="0" w:color="auto"/>
              <w:left w:val="dotted" w:sz="4" w:space="0" w:color="auto"/>
              <w:righ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½ roku</w:t>
            </w:r>
          </w:p>
        </w:tc>
        <w:tc>
          <w:tcPr>
            <w:tcW w:w="1794" w:type="dxa"/>
            <w:tcBorders>
              <w:top w:val="dotted" w:sz="4" w:space="0" w:color="auto"/>
              <w:left w:val="dotted" w:sz="4" w:space="0" w:color="auto"/>
            </w:tcBorders>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2010</w:t>
            </w:r>
          </w:p>
        </w:tc>
      </w:tr>
      <w:tr w:rsidR="003D4F90" w:rsidRPr="00025B12" w:rsidTr="00D131AA">
        <w:trPr>
          <w:trHeight w:val="274"/>
        </w:trPr>
        <w:tc>
          <w:tcPr>
            <w:tcW w:w="7494" w:type="dxa"/>
            <w:gridSpan w:val="4"/>
            <w:shd w:val="clear" w:color="auto" w:fill="663399"/>
          </w:tcPr>
          <w:p w:rsidR="003D4F90" w:rsidRPr="00025B12" w:rsidRDefault="003D4F90" w:rsidP="00D131AA">
            <w:pPr>
              <w:spacing w:after="0" w:line="240" w:lineRule="auto"/>
              <w:jc w:val="center"/>
              <w:rPr>
                <w:rFonts w:ascii="Verdana" w:eastAsiaTheme="minorHAnsi" w:hAnsi="Verdana" w:cstheme="minorBidi"/>
                <w:sz w:val="18"/>
                <w:szCs w:val="18"/>
              </w:rPr>
            </w:pPr>
          </w:p>
        </w:tc>
        <w:tc>
          <w:tcPr>
            <w:tcW w:w="1794" w:type="dxa"/>
            <w:shd w:val="clear" w:color="auto" w:fill="663399"/>
            <w:vAlign w:val="center"/>
          </w:tcPr>
          <w:p w:rsidR="003D4F90" w:rsidRPr="00025B12" w:rsidRDefault="003D4F9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3D4F90" w:rsidRPr="00025B12" w:rsidTr="00D131AA">
        <w:trPr>
          <w:trHeight w:val="1319"/>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3D4F90" w:rsidRPr="00025B12" w:rsidRDefault="003D4F90" w:rsidP="00D131AA">
            <w:pPr>
              <w:spacing w:after="0" w:line="240" w:lineRule="auto"/>
              <w:ind w:right="34"/>
              <w:jc w:val="both"/>
              <w:rPr>
                <w:rFonts w:ascii="Verdana" w:eastAsiaTheme="minorHAnsi" w:hAnsi="Verdana" w:cstheme="minorBidi"/>
                <w:sz w:val="18"/>
                <w:szCs w:val="18"/>
              </w:rPr>
            </w:pPr>
            <w:r w:rsidRPr="00025B12">
              <w:rPr>
                <w:rFonts w:ascii="Verdana" w:eastAsiaTheme="minorHAnsi" w:hAnsi="Verdana" w:cstheme="minorBidi"/>
                <w:sz w:val="18"/>
                <w:szCs w:val="18"/>
              </w:rPr>
              <w:t xml:space="preserve">Indikátor je zaměřen na zjištění poměru nabídky dalšího vzdělávání pro jednotlivé profese (v podrobnosti až na třímístný kód KZAM) k zaměstnanosti v této profesi. Informuje o možnostech osob zastávajících tuto profesi si prostřednictvím dalšího vzdělávání doplnit či udržet příslušnou kvalifikaci. </w:t>
            </w:r>
          </w:p>
        </w:tc>
      </w:tr>
      <w:tr w:rsidR="003D4F90" w:rsidRPr="00025B12" w:rsidTr="00D131AA">
        <w:trPr>
          <w:trHeight w:val="992"/>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3D4F90" w:rsidRPr="00025B12" w:rsidRDefault="003D4F90" w:rsidP="00D131AA">
            <w:pPr>
              <w:spacing w:after="0" w:line="240" w:lineRule="auto"/>
              <w:ind w:right="34"/>
              <w:jc w:val="both"/>
              <w:rPr>
                <w:rFonts w:ascii="Verdana" w:eastAsiaTheme="minorHAnsi" w:hAnsi="Verdana" w:cstheme="minorBidi"/>
                <w:sz w:val="18"/>
                <w:szCs w:val="18"/>
              </w:rPr>
            </w:pPr>
            <w:r w:rsidRPr="00025B12">
              <w:rPr>
                <w:rFonts w:ascii="Verdana" w:eastAsiaTheme="minorHAnsi" w:hAnsi="Verdana" w:cstheme="minorBidi"/>
                <w:sz w:val="18"/>
                <w:szCs w:val="18"/>
              </w:rPr>
              <w:t>Indikátor je vypočítán jako počet odpovídajícím způsobem zaměřených kurzů dalšího vzdělávání připadajících na 1000 zaměstnaných v dané profesi.</w:t>
            </w:r>
          </w:p>
          <w:p w:rsidR="003D4F90" w:rsidRPr="00025B12" w:rsidRDefault="003D4F90" w:rsidP="00D131AA">
            <w:pPr>
              <w:jc w:val="both"/>
              <w:rPr>
                <w:rFonts w:ascii="Verdana" w:eastAsiaTheme="minorHAnsi" w:hAnsi="Verdana" w:cstheme="minorBidi"/>
                <w:sz w:val="18"/>
                <w:szCs w:val="18"/>
              </w:rPr>
            </w:pPr>
            <w:r w:rsidRPr="00025B12">
              <w:rPr>
                <w:rFonts w:ascii="Verdana" w:eastAsiaTheme="minorHAnsi" w:hAnsi="Verdana" w:cstheme="minorBidi"/>
                <w:sz w:val="18"/>
                <w:szCs w:val="18"/>
              </w:rPr>
              <w:t>Do indikátoru jsou započteny pouze profesně specifické kurzy, které umožňují přiřazení ke konkrétní profesi. Toto přiřazování proběhlo na základě specifické metodiky kombinující kategorizace používané na portálech a systému klíčových slov. Jeden inzerát může být vhodný i pro více různých profesí. Více o metodice viz podkladová studie</w:t>
            </w:r>
            <w:r w:rsidR="005D28B5" w:rsidRPr="00025B12">
              <w:rPr>
                <w:rFonts w:ascii="Verdana" w:eastAsiaTheme="minorHAnsi" w:hAnsi="Verdana" w:cstheme="minorBidi"/>
                <w:sz w:val="18"/>
                <w:szCs w:val="18"/>
              </w:rPr>
              <w:t xml:space="preserve"> – příloha 5</w:t>
            </w:r>
            <w:r w:rsidRPr="00025B12">
              <w:rPr>
                <w:rFonts w:ascii="Verdana" w:eastAsiaTheme="minorHAnsi" w:hAnsi="Verdana" w:cstheme="minorBidi"/>
                <w:sz w:val="18"/>
                <w:szCs w:val="18"/>
              </w:rPr>
              <w:t>.</w:t>
            </w:r>
          </w:p>
        </w:tc>
      </w:tr>
      <w:tr w:rsidR="003D4F90" w:rsidRPr="00025B12" w:rsidTr="00D131AA">
        <w:trPr>
          <w:trHeight w:val="1053"/>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3D4F90" w:rsidRPr="00025B12" w:rsidRDefault="003D4F90" w:rsidP="00D131AA">
            <w:pPr>
              <w:jc w:val="both"/>
              <w:rPr>
                <w:rFonts w:ascii="Verdana" w:hAnsi="Verdana"/>
                <w:sz w:val="18"/>
                <w:szCs w:val="18"/>
              </w:rPr>
            </w:pPr>
            <w:r w:rsidRPr="00025B12">
              <w:rPr>
                <w:rFonts w:ascii="Verdana" w:hAnsi="Verdana"/>
                <w:sz w:val="18"/>
                <w:szCs w:val="18"/>
              </w:rPr>
              <w:t>Zdrojem dat pro výpočet indikátoru je databáze nabídky DV inzerovaná na serverech EDUCity a EU-DAT, které umožňují publikaci indikátoru v krajském členění s pololetní periodicitou. Dostupnost data je vázána na spolupráci s provozovateli databází – společnosti Ivitera a Trexima. Z jejich databází jsou výpočty provedeny na základě specifické metodiky (viz podkladová studie</w:t>
            </w:r>
            <w:r w:rsidR="005D28B5" w:rsidRPr="00025B12">
              <w:rPr>
                <w:rFonts w:ascii="Verdana" w:hAnsi="Verdana"/>
                <w:sz w:val="18"/>
                <w:szCs w:val="18"/>
              </w:rPr>
              <w:t xml:space="preserve"> – příloha 5</w:t>
            </w:r>
            <w:r w:rsidRPr="00025B12">
              <w:rPr>
                <w:rFonts w:ascii="Verdana" w:hAnsi="Verdana"/>
                <w:sz w:val="18"/>
                <w:szCs w:val="18"/>
              </w:rPr>
              <w:t>). Zdrojem pro informaci o volných pracovních místech je databáze MPSV.</w:t>
            </w:r>
          </w:p>
          <w:p w:rsidR="003D4F90" w:rsidRPr="00025B12" w:rsidRDefault="003D4F90" w:rsidP="00D131AA">
            <w:pPr>
              <w:jc w:val="both"/>
              <w:rPr>
                <w:rFonts w:ascii="Verdana" w:eastAsiaTheme="minorHAnsi" w:hAnsi="Verdana" w:cstheme="minorBidi"/>
                <w:sz w:val="18"/>
                <w:szCs w:val="18"/>
              </w:rPr>
            </w:pPr>
            <w:r w:rsidRPr="00025B12">
              <w:rPr>
                <w:rFonts w:ascii="Verdana" w:eastAsiaTheme="minorHAnsi" w:hAnsi="Verdana" w:cstheme="minorBidi"/>
                <w:sz w:val="18"/>
                <w:szCs w:val="18"/>
              </w:rPr>
              <w:t>Oba datové zdroje umožňují publikaci indikátoru v krajském členění. Sledování podrobného profesního a zároveň krajské členění je však problematické a způsob publikace indikátoru proto musí být ještě upřesněn.</w:t>
            </w:r>
          </w:p>
        </w:tc>
      </w:tr>
      <w:tr w:rsidR="003D4F90" w:rsidRPr="00025B12" w:rsidTr="00D131AA">
        <w:trPr>
          <w:trHeight w:val="837"/>
        </w:trPr>
        <w:tc>
          <w:tcPr>
            <w:tcW w:w="9288" w:type="dxa"/>
            <w:gridSpan w:val="5"/>
          </w:tcPr>
          <w:p w:rsidR="003D4F90" w:rsidRPr="00025B12" w:rsidRDefault="003D4F90"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3D4F90" w:rsidRPr="00025B12" w:rsidRDefault="003D4F90" w:rsidP="00D131AA">
            <w:pPr>
              <w:jc w:val="both"/>
              <w:rPr>
                <w:rFonts w:ascii="Verdana" w:hAnsi="Verdana"/>
                <w:sz w:val="18"/>
                <w:szCs w:val="18"/>
              </w:rPr>
            </w:pPr>
            <w:r w:rsidRPr="00025B12">
              <w:rPr>
                <w:rFonts w:ascii="Verdana" w:hAnsi="Verdana"/>
                <w:sz w:val="18"/>
                <w:szCs w:val="18"/>
              </w:rPr>
              <w:t xml:space="preserve">Úřady práce ve skutečnosti neinformují o všech pracovních místech na trhu. V budoucnu by bylo vhodné nahradit informace z úřadů práce o volných </w:t>
            </w:r>
            <w:r w:rsidR="00E26E2D" w:rsidRPr="00025B12">
              <w:rPr>
                <w:rFonts w:ascii="Verdana" w:hAnsi="Verdana"/>
                <w:sz w:val="18"/>
                <w:szCs w:val="18"/>
              </w:rPr>
              <w:t>pracovních</w:t>
            </w:r>
            <w:r w:rsidRPr="00025B12">
              <w:rPr>
                <w:rFonts w:ascii="Verdana" w:hAnsi="Verdana"/>
                <w:sz w:val="18"/>
                <w:szCs w:val="18"/>
              </w:rPr>
              <w:t xml:space="preserve"> místech </w:t>
            </w:r>
            <w:r w:rsidR="00E26E2D" w:rsidRPr="00025B12">
              <w:rPr>
                <w:rFonts w:ascii="Verdana" w:hAnsi="Verdana"/>
                <w:sz w:val="18"/>
                <w:szCs w:val="18"/>
              </w:rPr>
              <w:t>komplexnější</w:t>
            </w:r>
            <w:r w:rsidRPr="00025B12">
              <w:rPr>
                <w:rFonts w:ascii="Verdana" w:hAnsi="Verdana"/>
                <w:sz w:val="18"/>
                <w:szCs w:val="18"/>
              </w:rPr>
              <w:t xml:space="preserve"> databází, jak bylo navrženo v projektu Krátkodobé trendy v poptávce po pracovní síle realizovaném pro MPSV v roce 2010.</w:t>
            </w:r>
          </w:p>
          <w:p w:rsidR="003D4F90" w:rsidRPr="00025B12" w:rsidRDefault="003D4F90" w:rsidP="00D131AA">
            <w:pPr>
              <w:jc w:val="both"/>
              <w:rPr>
                <w:rFonts w:ascii="Verdana" w:hAnsi="Verdana"/>
                <w:sz w:val="18"/>
                <w:szCs w:val="18"/>
              </w:rPr>
            </w:pPr>
            <w:r w:rsidRPr="00025B12">
              <w:rPr>
                <w:rFonts w:ascii="Verdana" w:hAnsi="Verdana"/>
                <w:sz w:val="18"/>
                <w:szCs w:val="18"/>
              </w:rPr>
              <w:t>Průběžně je jednáno o zapojení třetí největší databáze EduMenu (společnost Education, s.r.o.), zatím se ale data nepodařilo získat.</w:t>
            </w:r>
          </w:p>
        </w:tc>
      </w:tr>
    </w:tbl>
    <w:p w:rsidR="003D4F90" w:rsidRPr="00025B12" w:rsidRDefault="003D4F90" w:rsidP="000C6631">
      <w:pPr>
        <w:jc w:val="both"/>
        <w:outlineLvl w:val="0"/>
        <w:rPr>
          <w:rFonts w:ascii="Verdana" w:hAnsi="Verdana"/>
          <w:b/>
          <w:sz w:val="24"/>
          <w:szCs w:val="24"/>
        </w:rPr>
      </w:pPr>
      <w:r w:rsidRPr="00025B12">
        <w:rPr>
          <w:rFonts w:ascii="Verdana" w:hAnsi="Verdana"/>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2048"/>
        <w:gridCol w:w="2155"/>
        <w:gridCol w:w="1962"/>
        <w:gridCol w:w="1721"/>
      </w:tblGrid>
      <w:tr w:rsidR="0066362A" w:rsidRPr="00025B12" w:rsidTr="003D4F90">
        <w:trPr>
          <w:trHeight w:val="425"/>
        </w:trPr>
        <w:tc>
          <w:tcPr>
            <w:tcW w:w="1402" w:type="dxa"/>
            <w:tcBorders>
              <w:bottom w:val="single" w:sz="4" w:space="0" w:color="auto"/>
              <w:right w:val="single" w:sz="4" w:space="0" w:color="auto"/>
            </w:tcBorders>
            <w:shd w:val="clear" w:color="auto" w:fill="663399"/>
            <w:vAlign w:val="center"/>
          </w:tcPr>
          <w:p w:rsidR="0066362A" w:rsidRPr="00025B12" w:rsidRDefault="0066362A" w:rsidP="0066362A">
            <w:pPr>
              <w:pStyle w:val="Kd"/>
              <w:rPr>
                <w:sz w:val="18"/>
                <w:szCs w:val="18"/>
              </w:rPr>
            </w:pPr>
            <w:r w:rsidRPr="00025B12">
              <w:rPr>
                <w:sz w:val="18"/>
                <w:szCs w:val="18"/>
              </w:rPr>
              <w:br w:type="page"/>
            </w:r>
            <w:r w:rsidRPr="00025B12">
              <w:rPr>
                <w:sz w:val="18"/>
                <w:szCs w:val="18"/>
              </w:rPr>
              <w:br w:type="page"/>
            </w:r>
            <w:bookmarkStart w:id="99" w:name="III25"/>
            <w:r w:rsidRPr="00025B12">
              <w:rPr>
                <w:sz w:val="18"/>
                <w:szCs w:val="18"/>
              </w:rPr>
              <w:t>III.2.</w:t>
            </w:r>
            <w:bookmarkEnd w:id="99"/>
            <w:r w:rsidR="00741F81" w:rsidRPr="00025B12">
              <w:rPr>
                <w:sz w:val="18"/>
                <w:szCs w:val="18"/>
              </w:rPr>
              <w:t>d3</w:t>
            </w:r>
          </w:p>
        </w:tc>
        <w:tc>
          <w:tcPr>
            <w:tcW w:w="7886" w:type="dxa"/>
            <w:gridSpan w:val="4"/>
            <w:vMerge w:val="restart"/>
            <w:tcBorders>
              <w:top w:val="single" w:sz="4" w:space="0" w:color="auto"/>
              <w:left w:val="single" w:sz="4" w:space="0" w:color="auto"/>
              <w:right w:val="single" w:sz="4" w:space="0" w:color="auto"/>
            </w:tcBorders>
            <w:shd w:val="clear" w:color="auto" w:fill="663399"/>
            <w:vAlign w:val="center"/>
          </w:tcPr>
          <w:p w:rsidR="0066362A" w:rsidRPr="00025B12" w:rsidRDefault="0066362A" w:rsidP="0066362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Akreditované kurzy dalšího vzdělávání</w:t>
            </w:r>
          </w:p>
        </w:tc>
      </w:tr>
      <w:tr w:rsidR="0066362A" w:rsidRPr="00025B12" w:rsidTr="003D4F90">
        <w:trPr>
          <w:trHeight w:val="360"/>
        </w:trPr>
        <w:tc>
          <w:tcPr>
            <w:tcW w:w="1402" w:type="dxa"/>
            <w:tcBorders>
              <w:top w:val="single" w:sz="4" w:space="0" w:color="auto"/>
              <w:bottom w:val="single" w:sz="4" w:space="0" w:color="auto"/>
              <w:right w:val="single" w:sz="4" w:space="0" w:color="auto"/>
            </w:tcBorders>
            <w:shd w:val="clear" w:color="auto" w:fill="663399"/>
            <w:vAlign w:val="center"/>
          </w:tcPr>
          <w:p w:rsidR="0066362A" w:rsidRPr="00025B12" w:rsidRDefault="000E6D4F" w:rsidP="0066362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86" w:type="dxa"/>
            <w:gridSpan w:val="4"/>
            <w:vMerge/>
            <w:tcBorders>
              <w:left w:val="single" w:sz="4" w:space="0" w:color="auto"/>
              <w:bottom w:val="single" w:sz="4" w:space="0" w:color="auto"/>
              <w:right w:val="single" w:sz="4" w:space="0" w:color="auto"/>
            </w:tcBorders>
            <w:vAlign w:val="center"/>
          </w:tcPr>
          <w:p w:rsidR="0066362A" w:rsidRPr="00025B12" w:rsidRDefault="0066362A" w:rsidP="0066362A">
            <w:pPr>
              <w:spacing w:after="0" w:line="240" w:lineRule="auto"/>
              <w:jc w:val="center"/>
              <w:rPr>
                <w:rFonts w:ascii="Verdana" w:eastAsiaTheme="minorHAnsi" w:hAnsi="Verdana" w:cstheme="minorBidi"/>
                <w:sz w:val="18"/>
                <w:szCs w:val="18"/>
              </w:rPr>
            </w:pPr>
          </w:p>
        </w:tc>
      </w:tr>
      <w:tr w:rsidR="0066362A" w:rsidRPr="00025B12" w:rsidTr="00296FE3">
        <w:trPr>
          <w:trHeight w:val="360"/>
        </w:trPr>
        <w:tc>
          <w:tcPr>
            <w:tcW w:w="1402" w:type="dxa"/>
            <w:tcBorders>
              <w:top w:val="single" w:sz="4" w:space="0" w:color="auto"/>
              <w:bottom w:val="dotted" w:sz="4" w:space="0" w:color="auto"/>
              <w:right w:val="dotted" w:sz="4" w:space="0" w:color="auto"/>
            </w:tcBorders>
          </w:tcPr>
          <w:p w:rsidR="0066362A" w:rsidRPr="00025B12" w:rsidRDefault="0066362A" w:rsidP="0066362A">
            <w:pPr>
              <w:spacing w:after="0" w:line="240" w:lineRule="auto"/>
              <w:jc w:val="center"/>
              <w:rPr>
                <w:rFonts w:ascii="Verdana" w:eastAsiaTheme="minorHAnsi" w:hAnsi="Verdana" w:cstheme="minorBidi"/>
                <w:sz w:val="18"/>
                <w:szCs w:val="18"/>
              </w:rPr>
            </w:pPr>
          </w:p>
        </w:tc>
        <w:tc>
          <w:tcPr>
            <w:tcW w:w="2048" w:type="dxa"/>
            <w:tcBorders>
              <w:top w:val="single" w:sz="4" w:space="0" w:color="auto"/>
              <w:left w:val="dotted" w:sz="4" w:space="0" w:color="auto"/>
              <w:bottom w:val="dotted" w:sz="4" w:space="0" w:color="auto"/>
              <w:right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155" w:type="dxa"/>
            <w:tcBorders>
              <w:top w:val="single" w:sz="4" w:space="0" w:color="auto"/>
              <w:left w:val="dotted" w:sz="4" w:space="0" w:color="auto"/>
              <w:bottom w:val="dotted" w:sz="4" w:space="0" w:color="auto"/>
              <w:right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1962" w:type="dxa"/>
            <w:tcBorders>
              <w:top w:val="single" w:sz="4" w:space="0" w:color="auto"/>
              <w:left w:val="dotted" w:sz="4" w:space="0" w:color="auto"/>
              <w:bottom w:val="dotted" w:sz="4" w:space="0" w:color="auto"/>
              <w:right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21" w:type="dxa"/>
            <w:tcBorders>
              <w:top w:val="single" w:sz="4" w:space="0" w:color="auto"/>
              <w:left w:val="dotted" w:sz="4" w:space="0" w:color="auto"/>
              <w:bottom w:val="dotted" w:sz="4" w:space="0" w:color="auto"/>
            </w:tcBorders>
            <w:vAlign w:val="center"/>
          </w:tcPr>
          <w:p w:rsidR="0066362A" w:rsidRPr="00025B12" w:rsidRDefault="0066362A"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66362A" w:rsidRPr="00025B12" w:rsidTr="003D4F90">
        <w:trPr>
          <w:trHeight w:val="360"/>
        </w:trPr>
        <w:tc>
          <w:tcPr>
            <w:tcW w:w="1402" w:type="dxa"/>
            <w:tcBorders>
              <w:top w:val="dotted" w:sz="4" w:space="0" w:color="auto"/>
              <w:bottom w:val="dotted" w:sz="4" w:space="0" w:color="auto"/>
              <w:right w:val="dotted" w:sz="4" w:space="0" w:color="auto"/>
            </w:tcBorders>
          </w:tcPr>
          <w:p w:rsidR="0066362A" w:rsidRPr="00025B12" w:rsidRDefault="0066362A" w:rsidP="0066362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2048" w:type="dxa"/>
            <w:tcBorders>
              <w:top w:val="dotted" w:sz="4" w:space="0" w:color="auto"/>
              <w:left w:val="dotted" w:sz="4" w:space="0" w:color="auto"/>
              <w:bottom w:val="dotted" w:sz="4" w:space="0" w:color="auto"/>
              <w:right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55" w:type="dxa"/>
            <w:tcBorders>
              <w:top w:val="dotted" w:sz="4" w:space="0" w:color="auto"/>
              <w:left w:val="dotted" w:sz="4" w:space="0" w:color="auto"/>
              <w:bottom w:val="dotted" w:sz="4" w:space="0" w:color="auto"/>
              <w:right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962" w:type="dxa"/>
            <w:tcBorders>
              <w:top w:val="dotted" w:sz="4" w:space="0" w:color="auto"/>
              <w:left w:val="dotted" w:sz="4" w:space="0" w:color="auto"/>
              <w:bottom w:val="dotted" w:sz="4" w:space="0" w:color="auto"/>
              <w:right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21" w:type="dxa"/>
            <w:tcBorders>
              <w:top w:val="dotted" w:sz="4" w:space="0" w:color="auto"/>
              <w:left w:val="dotted" w:sz="4" w:space="0" w:color="auto"/>
              <w:bottom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66362A" w:rsidRPr="00025B12" w:rsidTr="003D4F90">
        <w:trPr>
          <w:trHeight w:val="360"/>
        </w:trPr>
        <w:tc>
          <w:tcPr>
            <w:tcW w:w="1402" w:type="dxa"/>
            <w:tcBorders>
              <w:top w:val="dotted" w:sz="4" w:space="0" w:color="auto"/>
              <w:bottom w:val="dotted" w:sz="4" w:space="0" w:color="auto"/>
              <w:right w:val="dotted" w:sz="4" w:space="0" w:color="auto"/>
            </w:tcBorders>
          </w:tcPr>
          <w:p w:rsidR="0066362A" w:rsidRPr="00025B12" w:rsidRDefault="0066362A" w:rsidP="0066362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2048" w:type="dxa"/>
            <w:tcBorders>
              <w:top w:val="dotted" w:sz="4" w:space="0" w:color="auto"/>
              <w:left w:val="dotted" w:sz="4" w:space="0" w:color="auto"/>
              <w:bottom w:val="dotted" w:sz="4" w:space="0" w:color="auto"/>
              <w:right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Seznamy akreditovaných kurzů ministerstev+</w:t>
            </w:r>
            <w:hyperlink w:anchor="Databáze_nabídky" w:history="1">
              <w:r w:rsidRPr="00025B12">
                <w:rPr>
                  <w:rStyle w:val="Hypertextovodkaz"/>
                  <w:rFonts w:ascii="Verdana" w:eastAsiaTheme="minorHAnsi" w:hAnsi="Verdana" w:cstheme="minorBidi"/>
                  <w:sz w:val="18"/>
                  <w:szCs w:val="18"/>
                </w:rPr>
                <w:t>DAK</w:t>
              </w:r>
            </w:hyperlink>
          </w:p>
        </w:tc>
        <w:tc>
          <w:tcPr>
            <w:tcW w:w="2155" w:type="dxa"/>
            <w:tcBorders>
              <w:top w:val="dotted" w:sz="4" w:space="0" w:color="auto"/>
              <w:left w:val="dotted" w:sz="4" w:space="0" w:color="auto"/>
              <w:bottom w:val="dotted" w:sz="4" w:space="0" w:color="auto"/>
              <w:right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Ministerstva</w:t>
            </w:r>
          </w:p>
        </w:tc>
        <w:tc>
          <w:tcPr>
            <w:tcW w:w="1962" w:type="dxa"/>
            <w:tcBorders>
              <w:top w:val="dotted" w:sz="4" w:space="0" w:color="auto"/>
              <w:left w:val="dotted" w:sz="4" w:space="0" w:color="auto"/>
              <w:bottom w:val="dotted" w:sz="4" w:space="0" w:color="auto"/>
              <w:right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21" w:type="dxa"/>
            <w:tcBorders>
              <w:top w:val="dotted" w:sz="4" w:space="0" w:color="auto"/>
              <w:left w:val="dotted" w:sz="4" w:space="0" w:color="auto"/>
              <w:bottom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Liší se u ministerstev</w:t>
            </w:r>
          </w:p>
        </w:tc>
      </w:tr>
      <w:tr w:rsidR="006748AA" w:rsidRPr="00025B12" w:rsidTr="003D4F90">
        <w:trPr>
          <w:trHeight w:val="360"/>
        </w:trPr>
        <w:tc>
          <w:tcPr>
            <w:tcW w:w="1402" w:type="dxa"/>
            <w:tcBorders>
              <w:top w:val="dotted" w:sz="4" w:space="0" w:color="auto"/>
              <w:right w:val="dotted" w:sz="4" w:space="0" w:color="auto"/>
            </w:tcBorders>
          </w:tcPr>
          <w:p w:rsidR="006748AA" w:rsidRPr="00025B12" w:rsidRDefault="006748AA" w:rsidP="0066362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2048" w:type="dxa"/>
            <w:tcBorders>
              <w:top w:val="dotted" w:sz="4" w:space="0" w:color="auto"/>
              <w:left w:val="dotted" w:sz="4" w:space="0" w:color="auto"/>
              <w:right w:val="dotted" w:sz="4" w:space="0" w:color="auto"/>
            </w:tcBorders>
            <w:vAlign w:val="center"/>
          </w:tcPr>
          <w:p w:rsidR="006748AA" w:rsidRPr="00025B12" w:rsidRDefault="006748AA" w:rsidP="00DD020F">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Seznamy akreditovaných kurzů ministerstev+</w:t>
            </w:r>
            <w:hyperlink w:anchor="Databáze_nabídky" w:history="1">
              <w:r w:rsidRPr="00025B12">
                <w:rPr>
                  <w:rStyle w:val="Hypertextovodkaz"/>
                  <w:rFonts w:ascii="Verdana" w:eastAsiaTheme="minorHAnsi" w:hAnsi="Verdana" w:cstheme="minorBidi"/>
                  <w:sz w:val="18"/>
                  <w:szCs w:val="18"/>
                </w:rPr>
                <w:t>DAK</w:t>
              </w:r>
            </w:hyperlink>
          </w:p>
        </w:tc>
        <w:tc>
          <w:tcPr>
            <w:tcW w:w="2155" w:type="dxa"/>
            <w:tcBorders>
              <w:top w:val="dotted" w:sz="4" w:space="0" w:color="auto"/>
              <w:left w:val="dotted" w:sz="4" w:space="0" w:color="auto"/>
              <w:right w:val="dotted" w:sz="4" w:space="0" w:color="auto"/>
            </w:tcBorders>
            <w:vAlign w:val="center"/>
          </w:tcPr>
          <w:p w:rsidR="006748AA" w:rsidRPr="00025B12" w:rsidRDefault="006748AA" w:rsidP="0016023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Ministerstva</w:t>
            </w:r>
          </w:p>
        </w:tc>
        <w:tc>
          <w:tcPr>
            <w:tcW w:w="1962" w:type="dxa"/>
            <w:tcBorders>
              <w:top w:val="dotted" w:sz="4" w:space="0" w:color="auto"/>
              <w:left w:val="dotted" w:sz="4" w:space="0" w:color="auto"/>
              <w:right w:val="dotted" w:sz="4" w:space="0" w:color="auto"/>
            </w:tcBorders>
            <w:vAlign w:val="center"/>
          </w:tcPr>
          <w:p w:rsidR="006748AA" w:rsidRPr="00025B12" w:rsidRDefault="006748AA" w:rsidP="0016023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21" w:type="dxa"/>
            <w:tcBorders>
              <w:top w:val="dotted" w:sz="4" w:space="0" w:color="auto"/>
              <w:left w:val="dotted" w:sz="4" w:space="0" w:color="auto"/>
            </w:tcBorders>
            <w:vAlign w:val="center"/>
          </w:tcPr>
          <w:p w:rsidR="006748AA" w:rsidRPr="00025B12" w:rsidRDefault="006748AA" w:rsidP="0016023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Liší se u ministerstev</w:t>
            </w:r>
          </w:p>
        </w:tc>
      </w:tr>
      <w:tr w:rsidR="0066362A" w:rsidRPr="00025B12" w:rsidTr="003D4F90">
        <w:trPr>
          <w:trHeight w:val="274"/>
        </w:trPr>
        <w:tc>
          <w:tcPr>
            <w:tcW w:w="7567" w:type="dxa"/>
            <w:gridSpan w:val="4"/>
            <w:shd w:val="clear" w:color="auto" w:fill="663399"/>
          </w:tcPr>
          <w:p w:rsidR="0066362A" w:rsidRPr="00025B12" w:rsidRDefault="0066362A" w:rsidP="0066362A">
            <w:pPr>
              <w:spacing w:after="0" w:line="240" w:lineRule="auto"/>
              <w:jc w:val="center"/>
              <w:rPr>
                <w:rFonts w:ascii="Verdana" w:eastAsiaTheme="minorHAnsi" w:hAnsi="Verdana" w:cstheme="minorBidi"/>
                <w:sz w:val="18"/>
                <w:szCs w:val="18"/>
              </w:rPr>
            </w:pPr>
          </w:p>
        </w:tc>
        <w:tc>
          <w:tcPr>
            <w:tcW w:w="1721" w:type="dxa"/>
            <w:shd w:val="clear" w:color="auto" w:fill="663399"/>
            <w:vAlign w:val="center"/>
          </w:tcPr>
          <w:p w:rsidR="0066362A" w:rsidRPr="00025B12" w:rsidRDefault="0066362A" w:rsidP="0066362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66362A" w:rsidRPr="00025B12" w:rsidTr="0066362A">
        <w:trPr>
          <w:trHeight w:val="1319"/>
        </w:trPr>
        <w:tc>
          <w:tcPr>
            <w:tcW w:w="9288" w:type="dxa"/>
            <w:gridSpan w:val="5"/>
          </w:tcPr>
          <w:p w:rsidR="0066362A" w:rsidRPr="00025B12" w:rsidRDefault="0066362A" w:rsidP="0066362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66362A" w:rsidRPr="00025B12" w:rsidRDefault="0066362A" w:rsidP="0066362A">
            <w:pPr>
              <w:ind w:right="34"/>
              <w:jc w:val="both"/>
              <w:rPr>
                <w:rFonts w:ascii="Verdana" w:hAnsi="Verdana"/>
                <w:sz w:val="18"/>
                <w:szCs w:val="18"/>
              </w:rPr>
            </w:pPr>
            <w:r w:rsidRPr="00025B12">
              <w:rPr>
                <w:rFonts w:ascii="Verdana" w:eastAsiaTheme="minorHAnsi" w:hAnsi="Verdana" w:cstheme="minorBidi"/>
                <w:sz w:val="18"/>
                <w:szCs w:val="18"/>
              </w:rPr>
              <w:t>Cílem indikátoru je přinést informaci o specifickém segmentu dalšího neformálního vzdělávání – akreditovaných kurzech. Protože uvádí informaci o počtech udělených akreditací bez ohledu na to, zda se v daném období realizovaly, udává informaci ne o nabídce jako takové, ale spíše o potenciálu vzdělávacích společností.</w:t>
            </w:r>
          </w:p>
        </w:tc>
      </w:tr>
      <w:tr w:rsidR="0066362A" w:rsidRPr="00025B12" w:rsidTr="0066362A">
        <w:trPr>
          <w:trHeight w:val="992"/>
        </w:trPr>
        <w:tc>
          <w:tcPr>
            <w:tcW w:w="9288" w:type="dxa"/>
            <w:gridSpan w:val="5"/>
          </w:tcPr>
          <w:p w:rsidR="0066362A" w:rsidRPr="00025B12" w:rsidRDefault="0066362A" w:rsidP="0066362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66362A" w:rsidRPr="00025B12" w:rsidRDefault="0066362A" w:rsidP="0066362A">
            <w:pPr>
              <w:jc w:val="both"/>
              <w:rPr>
                <w:rFonts w:ascii="Verdana" w:eastAsiaTheme="minorHAnsi" w:hAnsi="Verdana" w:cstheme="minorBidi"/>
                <w:sz w:val="18"/>
                <w:szCs w:val="18"/>
              </w:rPr>
            </w:pPr>
            <w:r w:rsidRPr="00025B12">
              <w:rPr>
                <w:rFonts w:ascii="Verdana" w:eastAsiaTheme="minorHAnsi" w:hAnsi="Verdana" w:cstheme="minorBidi"/>
                <w:sz w:val="18"/>
                <w:szCs w:val="18"/>
              </w:rPr>
              <w:t>Mezi akreditované kurzy patří jednak kurzy rekvalifikační akreditované následujícím způsobem:</w:t>
            </w:r>
          </w:p>
          <w:p w:rsidR="0066362A" w:rsidRPr="00025B12" w:rsidRDefault="0066362A" w:rsidP="005E2CC2">
            <w:pPr>
              <w:numPr>
                <w:ilvl w:val="0"/>
                <w:numId w:val="21"/>
              </w:numPr>
              <w:spacing w:after="0" w:line="240" w:lineRule="auto"/>
              <w:ind w:right="34"/>
              <w:contextualSpacing/>
              <w:jc w:val="both"/>
              <w:rPr>
                <w:rFonts w:ascii="Verdana" w:hAnsi="Verdana"/>
                <w:sz w:val="18"/>
                <w:szCs w:val="18"/>
              </w:rPr>
            </w:pPr>
            <w:r w:rsidRPr="00025B12">
              <w:rPr>
                <w:rFonts w:ascii="Verdana" w:hAnsi="Verdana"/>
                <w:sz w:val="18"/>
                <w:szCs w:val="18"/>
              </w:rPr>
              <w:t>MŠMT (podle zákona č. 435/2004 Sb.)</w:t>
            </w:r>
          </w:p>
          <w:p w:rsidR="0066362A" w:rsidRPr="00025B12" w:rsidRDefault="0066362A" w:rsidP="005E2CC2">
            <w:pPr>
              <w:numPr>
                <w:ilvl w:val="0"/>
                <w:numId w:val="21"/>
              </w:numPr>
              <w:spacing w:after="0" w:line="240" w:lineRule="auto"/>
              <w:ind w:right="34"/>
              <w:contextualSpacing/>
              <w:jc w:val="both"/>
              <w:rPr>
                <w:rFonts w:ascii="Verdana" w:hAnsi="Verdana"/>
                <w:sz w:val="18"/>
                <w:szCs w:val="18"/>
              </w:rPr>
            </w:pPr>
            <w:r w:rsidRPr="00025B12">
              <w:rPr>
                <w:rFonts w:ascii="Verdana" w:hAnsi="Verdana"/>
                <w:sz w:val="18"/>
                <w:szCs w:val="18"/>
              </w:rPr>
              <w:t>MŠMT (z oblasti sportu)</w:t>
            </w:r>
          </w:p>
          <w:p w:rsidR="0066362A" w:rsidRPr="00025B12" w:rsidRDefault="0066362A" w:rsidP="005E2CC2">
            <w:pPr>
              <w:numPr>
                <w:ilvl w:val="0"/>
                <w:numId w:val="21"/>
              </w:numPr>
              <w:spacing w:after="0" w:line="240" w:lineRule="auto"/>
              <w:ind w:right="34"/>
              <w:contextualSpacing/>
              <w:jc w:val="both"/>
              <w:rPr>
                <w:rFonts w:ascii="Verdana" w:hAnsi="Verdana"/>
                <w:sz w:val="18"/>
                <w:szCs w:val="18"/>
              </w:rPr>
            </w:pPr>
            <w:r w:rsidRPr="00025B12">
              <w:rPr>
                <w:rFonts w:ascii="Verdana" w:hAnsi="Verdana"/>
                <w:sz w:val="18"/>
                <w:szCs w:val="18"/>
              </w:rPr>
              <w:t>MPSV (podle zákona č. 108/2006 Sb.)</w:t>
            </w:r>
          </w:p>
          <w:p w:rsidR="0066362A" w:rsidRPr="00025B12" w:rsidRDefault="0066362A" w:rsidP="005E2CC2">
            <w:pPr>
              <w:numPr>
                <w:ilvl w:val="0"/>
                <w:numId w:val="21"/>
              </w:numPr>
              <w:spacing w:after="0" w:line="240" w:lineRule="auto"/>
              <w:ind w:right="34"/>
              <w:contextualSpacing/>
              <w:jc w:val="both"/>
              <w:rPr>
                <w:rFonts w:ascii="Verdana" w:hAnsi="Verdana"/>
                <w:sz w:val="18"/>
                <w:szCs w:val="18"/>
              </w:rPr>
            </w:pPr>
            <w:r w:rsidRPr="00025B12">
              <w:rPr>
                <w:rFonts w:ascii="Verdana" w:hAnsi="Verdana"/>
                <w:sz w:val="18"/>
                <w:szCs w:val="18"/>
              </w:rPr>
              <w:t>MZd (podle zákona č. 96/2004 Sb.)</w:t>
            </w:r>
          </w:p>
          <w:p w:rsidR="0066362A" w:rsidRPr="00025B12" w:rsidRDefault="0066362A" w:rsidP="005E2CC2">
            <w:pPr>
              <w:numPr>
                <w:ilvl w:val="0"/>
                <w:numId w:val="21"/>
              </w:numPr>
              <w:spacing w:after="0" w:line="240" w:lineRule="auto"/>
              <w:ind w:right="34"/>
              <w:contextualSpacing/>
              <w:jc w:val="both"/>
              <w:rPr>
                <w:rFonts w:ascii="Verdana" w:hAnsi="Verdana"/>
                <w:sz w:val="18"/>
                <w:szCs w:val="18"/>
              </w:rPr>
            </w:pPr>
            <w:r w:rsidRPr="00025B12">
              <w:rPr>
                <w:rFonts w:ascii="Verdana" w:hAnsi="Verdana"/>
                <w:sz w:val="18"/>
                <w:szCs w:val="18"/>
              </w:rPr>
              <w:t>MZe</w:t>
            </w:r>
          </w:p>
          <w:p w:rsidR="0066362A" w:rsidRPr="00025B12" w:rsidRDefault="0066362A" w:rsidP="005E2CC2">
            <w:pPr>
              <w:numPr>
                <w:ilvl w:val="0"/>
                <w:numId w:val="21"/>
              </w:numPr>
              <w:spacing w:after="0" w:line="240" w:lineRule="auto"/>
              <w:ind w:right="34"/>
              <w:contextualSpacing/>
              <w:jc w:val="both"/>
              <w:rPr>
                <w:rFonts w:ascii="Verdana" w:hAnsi="Verdana"/>
                <w:sz w:val="18"/>
                <w:szCs w:val="18"/>
              </w:rPr>
            </w:pPr>
            <w:r w:rsidRPr="00025B12">
              <w:rPr>
                <w:rFonts w:ascii="Verdana" w:hAnsi="Verdana"/>
                <w:sz w:val="18"/>
                <w:szCs w:val="18"/>
              </w:rPr>
              <w:t>podle zvláštního právního předpisu</w:t>
            </w:r>
          </w:p>
          <w:p w:rsidR="0066362A" w:rsidRPr="00025B12" w:rsidRDefault="0066362A" w:rsidP="005E2CC2">
            <w:pPr>
              <w:numPr>
                <w:ilvl w:val="0"/>
                <w:numId w:val="21"/>
              </w:numPr>
              <w:spacing w:after="0" w:line="240" w:lineRule="auto"/>
              <w:ind w:right="34"/>
              <w:contextualSpacing/>
              <w:jc w:val="both"/>
              <w:rPr>
                <w:rFonts w:ascii="Verdana" w:hAnsi="Verdana"/>
                <w:sz w:val="18"/>
                <w:szCs w:val="18"/>
              </w:rPr>
            </w:pPr>
            <w:r w:rsidRPr="00025B12">
              <w:rPr>
                <w:rFonts w:ascii="Verdana" w:hAnsi="Verdana"/>
                <w:sz w:val="18"/>
                <w:szCs w:val="18"/>
              </w:rPr>
              <w:t xml:space="preserve">realizovaná školou v rámci zapsaného oboru nebo VŠ s akreditovaným studijním programem </w:t>
            </w:r>
          </w:p>
          <w:p w:rsidR="0066362A" w:rsidRPr="00025B12" w:rsidRDefault="0066362A" w:rsidP="0066362A">
            <w:pPr>
              <w:spacing w:after="0" w:line="240" w:lineRule="auto"/>
              <w:ind w:left="1428" w:right="34"/>
              <w:contextualSpacing/>
              <w:jc w:val="both"/>
              <w:rPr>
                <w:rFonts w:ascii="Verdana" w:hAnsi="Verdana"/>
                <w:sz w:val="18"/>
                <w:szCs w:val="18"/>
              </w:rPr>
            </w:pPr>
            <w:r w:rsidRPr="00025B12">
              <w:rPr>
                <w:rFonts w:ascii="Verdana" w:hAnsi="Verdana"/>
                <w:sz w:val="18"/>
                <w:szCs w:val="18"/>
              </w:rPr>
              <w:t xml:space="preserve">   </w:t>
            </w:r>
          </w:p>
          <w:p w:rsidR="0066362A" w:rsidRPr="00025B12" w:rsidRDefault="0066362A" w:rsidP="0066362A">
            <w:pPr>
              <w:jc w:val="both"/>
              <w:rPr>
                <w:rFonts w:ascii="Verdana" w:eastAsiaTheme="minorHAnsi" w:hAnsi="Verdana" w:cstheme="minorBidi"/>
                <w:sz w:val="18"/>
                <w:szCs w:val="18"/>
              </w:rPr>
            </w:pPr>
            <w:r w:rsidRPr="00025B12">
              <w:rPr>
                <w:rFonts w:ascii="Verdana" w:eastAsiaTheme="minorHAnsi" w:hAnsi="Verdana" w:cstheme="minorBidi"/>
                <w:sz w:val="18"/>
                <w:szCs w:val="18"/>
              </w:rPr>
              <w:t xml:space="preserve">a dále pak další akreditované kurzy (MŠMT-DVPP, MPSV, MV, MZd). </w:t>
            </w:r>
          </w:p>
          <w:p w:rsidR="0066362A" w:rsidRPr="00025B12" w:rsidRDefault="0066362A" w:rsidP="0066362A">
            <w:pPr>
              <w:jc w:val="both"/>
              <w:rPr>
                <w:rFonts w:ascii="Verdana" w:eastAsiaTheme="minorHAnsi" w:hAnsi="Verdana" w:cstheme="minorBidi"/>
                <w:sz w:val="18"/>
                <w:szCs w:val="18"/>
              </w:rPr>
            </w:pPr>
            <w:r w:rsidRPr="00025B12">
              <w:rPr>
                <w:rFonts w:ascii="Verdana" w:eastAsiaTheme="minorHAnsi" w:hAnsi="Verdana" w:cstheme="minorBidi"/>
                <w:sz w:val="18"/>
                <w:szCs w:val="18"/>
              </w:rPr>
              <w:t>Indikátor uvádí počet institucí, které mají akreditovaný nějaký vzdělávací program, počet akreditovaných kurzů a jejich kapacitu v členění podle ministerstev a skupin oborů vzdělávání. Jedná se o všechny akreditované kurzy bez ohledu na to, zda jsou v dané chvíli aktuálně nabízeny či nikoli.</w:t>
            </w:r>
          </w:p>
        </w:tc>
      </w:tr>
      <w:tr w:rsidR="0066362A" w:rsidRPr="00025B12" w:rsidTr="00671453">
        <w:trPr>
          <w:trHeight w:val="425"/>
        </w:trPr>
        <w:tc>
          <w:tcPr>
            <w:tcW w:w="9288" w:type="dxa"/>
            <w:gridSpan w:val="5"/>
          </w:tcPr>
          <w:p w:rsidR="0066362A" w:rsidRPr="00025B12" w:rsidRDefault="0066362A" w:rsidP="0066362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E54546" w:rsidRPr="00025B12" w:rsidRDefault="0066362A" w:rsidP="00E54546">
            <w:pPr>
              <w:jc w:val="both"/>
              <w:rPr>
                <w:rFonts w:ascii="Verdana" w:eastAsiaTheme="minorHAnsi" w:hAnsi="Verdana" w:cstheme="minorBidi"/>
                <w:sz w:val="18"/>
                <w:szCs w:val="18"/>
              </w:rPr>
            </w:pPr>
            <w:r w:rsidRPr="00025B12">
              <w:rPr>
                <w:rFonts w:ascii="Verdana" w:eastAsiaTheme="minorHAnsi" w:hAnsi="Verdana" w:cstheme="minorBidi"/>
                <w:sz w:val="18"/>
                <w:szCs w:val="18"/>
              </w:rPr>
              <w:t>Zdrojem dat pro výpočet indikátoru jsou seznamy zveřejňované na webových stránkách jednotlivých ministerstev. V případě akreditací udělovaných MŠMT je zdroje dat databáze EU-DAT, která je propojena se systémem DAK. V budoucnu bude databáze obsahovat i všechny akreditované kurzy realizované školami.</w:t>
            </w:r>
            <w:r w:rsidR="00E54546" w:rsidRPr="00025B12">
              <w:rPr>
                <w:rFonts w:ascii="Verdana" w:eastAsiaTheme="minorHAnsi" w:hAnsi="Verdana" w:cstheme="minorBidi"/>
                <w:sz w:val="18"/>
                <w:szCs w:val="18"/>
              </w:rPr>
              <w:t xml:space="preserve"> Získávání dat ze seznamů publikovaných na webových stránkách jednotlivých ministerstev je velmi pracné.</w:t>
            </w:r>
          </w:p>
          <w:p w:rsidR="00671453" w:rsidRPr="00025B12" w:rsidRDefault="00671453" w:rsidP="00E54546">
            <w:pPr>
              <w:jc w:val="both"/>
              <w:rPr>
                <w:rFonts w:ascii="Verdana" w:eastAsiaTheme="minorHAnsi" w:hAnsi="Verdana" w:cstheme="minorBidi"/>
                <w:sz w:val="18"/>
                <w:szCs w:val="18"/>
              </w:rPr>
            </w:pPr>
            <w:r w:rsidRPr="00025B12">
              <w:rPr>
                <w:rFonts w:ascii="Verdana" w:eastAsiaTheme="minorHAnsi" w:hAnsi="Verdana" w:cstheme="minorBidi"/>
                <w:sz w:val="18"/>
                <w:szCs w:val="18"/>
              </w:rPr>
              <w:t>Regionální údaje je možné získat pouze dle sídla vzdělávací společnosti, což nemusí vždy poskytovat dostatečný obrázek o nabídce v regionech.</w:t>
            </w:r>
          </w:p>
        </w:tc>
      </w:tr>
      <w:tr w:rsidR="0066362A" w:rsidRPr="00025B12" w:rsidTr="0066362A">
        <w:trPr>
          <w:trHeight w:val="837"/>
        </w:trPr>
        <w:tc>
          <w:tcPr>
            <w:tcW w:w="9288" w:type="dxa"/>
            <w:gridSpan w:val="5"/>
          </w:tcPr>
          <w:p w:rsidR="0066362A" w:rsidRPr="00025B12" w:rsidRDefault="0066362A" w:rsidP="0066362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66362A" w:rsidRPr="00025B12" w:rsidRDefault="00E54546" w:rsidP="0066362A">
            <w:pPr>
              <w:jc w:val="both"/>
              <w:rPr>
                <w:rFonts w:ascii="Verdana" w:hAnsi="Verdana"/>
                <w:sz w:val="18"/>
                <w:szCs w:val="18"/>
              </w:rPr>
            </w:pPr>
            <w:r w:rsidRPr="00025B12">
              <w:rPr>
                <w:rFonts w:ascii="Verdana" w:hAnsi="Verdana"/>
                <w:sz w:val="18"/>
                <w:szCs w:val="18"/>
              </w:rPr>
              <w:t>Vzhledem k pracnosti získání dat je obsažena v datech pouze ukázka.</w:t>
            </w:r>
          </w:p>
        </w:tc>
      </w:tr>
    </w:tbl>
    <w:p w:rsidR="00C43089" w:rsidRPr="00025B12" w:rsidRDefault="0066362A" w:rsidP="000C6631">
      <w:pPr>
        <w:jc w:val="both"/>
        <w:outlineLvl w:val="0"/>
        <w:rPr>
          <w:rFonts w:ascii="Verdana" w:hAnsi="Verdana"/>
          <w:b/>
          <w:sz w:val="20"/>
          <w:szCs w:val="20"/>
        </w:rPr>
      </w:pPr>
      <w:r w:rsidRPr="00025B12">
        <w:rPr>
          <w:rFonts w:ascii="Verdana" w:hAnsi="Verdana"/>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9"/>
        <w:gridCol w:w="2697"/>
        <w:gridCol w:w="2668"/>
        <w:gridCol w:w="1276"/>
        <w:gridCol w:w="1308"/>
      </w:tblGrid>
      <w:tr w:rsidR="0066362A" w:rsidRPr="00025B12" w:rsidTr="00296FE3">
        <w:trPr>
          <w:trHeight w:val="425"/>
        </w:trPr>
        <w:tc>
          <w:tcPr>
            <w:tcW w:w="721" w:type="pct"/>
            <w:tcBorders>
              <w:bottom w:val="single" w:sz="4" w:space="0" w:color="auto"/>
              <w:right w:val="single" w:sz="4" w:space="0" w:color="auto"/>
            </w:tcBorders>
            <w:shd w:val="clear" w:color="auto" w:fill="663399"/>
            <w:vAlign w:val="center"/>
          </w:tcPr>
          <w:p w:rsidR="0066362A" w:rsidRPr="00025B12" w:rsidRDefault="0066362A" w:rsidP="0066362A">
            <w:pPr>
              <w:pStyle w:val="Kd"/>
              <w:rPr>
                <w:sz w:val="18"/>
                <w:szCs w:val="18"/>
              </w:rPr>
            </w:pPr>
            <w:r w:rsidRPr="00025B12">
              <w:rPr>
                <w:sz w:val="18"/>
                <w:szCs w:val="18"/>
              </w:rPr>
              <w:br w:type="page"/>
            </w:r>
            <w:r w:rsidRPr="00025B12">
              <w:rPr>
                <w:sz w:val="18"/>
                <w:szCs w:val="18"/>
              </w:rPr>
              <w:br w:type="page"/>
            </w:r>
            <w:bookmarkStart w:id="100" w:name="III26"/>
            <w:r w:rsidRPr="00025B12">
              <w:rPr>
                <w:sz w:val="18"/>
                <w:szCs w:val="18"/>
              </w:rPr>
              <w:t>III.2.</w:t>
            </w:r>
            <w:bookmarkEnd w:id="100"/>
            <w:r w:rsidR="00741F81" w:rsidRPr="00025B12">
              <w:rPr>
                <w:sz w:val="18"/>
                <w:szCs w:val="18"/>
              </w:rPr>
              <w:t>d4</w:t>
            </w:r>
          </w:p>
        </w:tc>
        <w:tc>
          <w:tcPr>
            <w:tcW w:w="4279" w:type="pct"/>
            <w:gridSpan w:val="4"/>
            <w:vMerge w:val="restart"/>
            <w:tcBorders>
              <w:top w:val="single" w:sz="4" w:space="0" w:color="auto"/>
              <w:left w:val="single" w:sz="4" w:space="0" w:color="auto"/>
              <w:right w:val="single" w:sz="4" w:space="0" w:color="auto"/>
            </w:tcBorders>
            <w:shd w:val="clear" w:color="auto" w:fill="663399"/>
            <w:vAlign w:val="center"/>
          </w:tcPr>
          <w:p w:rsidR="0066362A" w:rsidRPr="00025B12" w:rsidRDefault="0066362A" w:rsidP="0066362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Podíl aktuálně nabízených rekvalifikačních kurzů na všech akreditovaných</w:t>
            </w:r>
          </w:p>
        </w:tc>
      </w:tr>
      <w:tr w:rsidR="0066362A" w:rsidRPr="00025B12" w:rsidTr="00296FE3">
        <w:trPr>
          <w:trHeight w:val="360"/>
        </w:trPr>
        <w:tc>
          <w:tcPr>
            <w:tcW w:w="721" w:type="pct"/>
            <w:tcBorders>
              <w:top w:val="single" w:sz="4" w:space="0" w:color="auto"/>
              <w:bottom w:val="single" w:sz="4" w:space="0" w:color="auto"/>
              <w:right w:val="single" w:sz="4" w:space="0" w:color="auto"/>
            </w:tcBorders>
            <w:shd w:val="clear" w:color="auto" w:fill="663399"/>
            <w:vAlign w:val="center"/>
          </w:tcPr>
          <w:p w:rsidR="0066362A" w:rsidRPr="00025B12" w:rsidRDefault="000E6D4F" w:rsidP="000E6D4F">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4279" w:type="pct"/>
            <w:gridSpan w:val="4"/>
            <w:vMerge/>
            <w:tcBorders>
              <w:left w:val="single" w:sz="4" w:space="0" w:color="auto"/>
              <w:bottom w:val="single" w:sz="4" w:space="0" w:color="auto"/>
              <w:right w:val="single" w:sz="4" w:space="0" w:color="auto"/>
            </w:tcBorders>
            <w:vAlign w:val="center"/>
          </w:tcPr>
          <w:p w:rsidR="0066362A" w:rsidRPr="00025B12" w:rsidRDefault="0066362A" w:rsidP="0066362A">
            <w:pPr>
              <w:spacing w:after="0" w:line="240" w:lineRule="auto"/>
              <w:jc w:val="center"/>
              <w:rPr>
                <w:rFonts w:ascii="Verdana" w:eastAsiaTheme="minorHAnsi" w:hAnsi="Verdana" w:cstheme="minorBidi"/>
                <w:sz w:val="18"/>
                <w:szCs w:val="18"/>
              </w:rPr>
            </w:pPr>
          </w:p>
        </w:tc>
      </w:tr>
      <w:tr w:rsidR="00296FE3" w:rsidRPr="00025B12" w:rsidTr="00296FE3">
        <w:trPr>
          <w:trHeight w:val="360"/>
        </w:trPr>
        <w:tc>
          <w:tcPr>
            <w:tcW w:w="721" w:type="pct"/>
            <w:tcBorders>
              <w:top w:val="single" w:sz="4" w:space="0" w:color="auto"/>
              <w:bottom w:val="dotted" w:sz="4" w:space="0" w:color="auto"/>
              <w:right w:val="dotted" w:sz="4" w:space="0" w:color="auto"/>
            </w:tcBorders>
          </w:tcPr>
          <w:p w:rsidR="0066362A" w:rsidRPr="00025B12" w:rsidRDefault="0066362A" w:rsidP="0066362A">
            <w:pPr>
              <w:spacing w:after="0" w:line="240" w:lineRule="auto"/>
              <w:jc w:val="center"/>
              <w:rPr>
                <w:rFonts w:ascii="Verdana" w:eastAsiaTheme="minorHAnsi" w:hAnsi="Verdana" w:cstheme="minorBidi"/>
                <w:sz w:val="18"/>
                <w:szCs w:val="18"/>
              </w:rPr>
            </w:pPr>
          </w:p>
        </w:tc>
        <w:tc>
          <w:tcPr>
            <w:tcW w:w="1452" w:type="pct"/>
            <w:tcBorders>
              <w:top w:val="single" w:sz="4" w:space="0" w:color="auto"/>
              <w:left w:val="dotted" w:sz="4" w:space="0" w:color="auto"/>
              <w:bottom w:val="dotted" w:sz="4" w:space="0" w:color="auto"/>
              <w:right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1436" w:type="pct"/>
            <w:tcBorders>
              <w:top w:val="single" w:sz="4" w:space="0" w:color="auto"/>
              <w:left w:val="dotted" w:sz="4" w:space="0" w:color="auto"/>
              <w:bottom w:val="dotted" w:sz="4" w:space="0" w:color="auto"/>
              <w:right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687" w:type="pct"/>
            <w:tcBorders>
              <w:top w:val="single" w:sz="4" w:space="0" w:color="auto"/>
              <w:left w:val="dotted" w:sz="4" w:space="0" w:color="auto"/>
              <w:bottom w:val="dotted" w:sz="4" w:space="0" w:color="auto"/>
              <w:right w:val="dotted" w:sz="4" w:space="0" w:color="auto"/>
            </w:tcBorders>
            <w:vAlign w:val="center"/>
          </w:tcPr>
          <w:p w:rsidR="0066362A" w:rsidRPr="00025B12" w:rsidRDefault="0066362A" w:rsidP="0066362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704" w:type="pct"/>
            <w:tcBorders>
              <w:top w:val="single" w:sz="4" w:space="0" w:color="auto"/>
              <w:left w:val="dotted" w:sz="4" w:space="0" w:color="auto"/>
              <w:bottom w:val="dotted" w:sz="4" w:space="0" w:color="auto"/>
            </w:tcBorders>
            <w:vAlign w:val="center"/>
          </w:tcPr>
          <w:p w:rsidR="0066362A" w:rsidRPr="00025B12" w:rsidRDefault="0066362A"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296FE3" w:rsidRPr="00025B12" w:rsidTr="00296FE3">
        <w:trPr>
          <w:trHeight w:val="360"/>
        </w:trPr>
        <w:tc>
          <w:tcPr>
            <w:tcW w:w="721" w:type="pct"/>
            <w:tcBorders>
              <w:top w:val="dotted" w:sz="4" w:space="0" w:color="auto"/>
              <w:bottom w:val="dotted" w:sz="4" w:space="0" w:color="auto"/>
              <w:right w:val="dotted" w:sz="4" w:space="0" w:color="auto"/>
            </w:tcBorders>
          </w:tcPr>
          <w:p w:rsidR="00671453" w:rsidRPr="00025B12" w:rsidRDefault="00671453" w:rsidP="0066362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452" w:type="pct"/>
            <w:tcBorders>
              <w:top w:val="dotted" w:sz="4" w:space="0" w:color="auto"/>
              <w:left w:val="dotted" w:sz="4" w:space="0" w:color="auto"/>
              <w:bottom w:val="dotted" w:sz="4" w:space="0" w:color="auto"/>
              <w:right w:val="dotted" w:sz="4" w:space="0" w:color="auto"/>
            </w:tcBorders>
            <w:vAlign w:val="center"/>
          </w:tcPr>
          <w:p w:rsidR="00671453" w:rsidRPr="00025B12" w:rsidRDefault="00671453" w:rsidP="0016023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436" w:type="pct"/>
            <w:tcBorders>
              <w:top w:val="dotted" w:sz="4" w:space="0" w:color="auto"/>
              <w:left w:val="dotted" w:sz="4" w:space="0" w:color="auto"/>
              <w:bottom w:val="dotted" w:sz="4" w:space="0" w:color="auto"/>
              <w:right w:val="dotted" w:sz="4" w:space="0" w:color="auto"/>
            </w:tcBorders>
            <w:vAlign w:val="center"/>
          </w:tcPr>
          <w:p w:rsidR="00671453" w:rsidRPr="00025B12" w:rsidRDefault="00671453" w:rsidP="0016023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687" w:type="pct"/>
            <w:tcBorders>
              <w:top w:val="dotted" w:sz="4" w:space="0" w:color="auto"/>
              <w:left w:val="dotted" w:sz="4" w:space="0" w:color="auto"/>
              <w:bottom w:val="dotted" w:sz="4" w:space="0" w:color="auto"/>
              <w:right w:val="dotted" w:sz="4" w:space="0" w:color="auto"/>
            </w:tcBorders>
            <w:vAlign w:val="center"/>
          </w:tcPr>
          <w:p w:rsidR="00671453" w:rsidRPr="00025B12" w:rsidRDefault="00671453" w:rsidP="0016023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704" w:type="pct"/>
            <w:tcBorders>
              <w:top w:val="dotted" w:sz="4" w:space="0" w:color="auto"/>
              <w:left w:val="dotted" w:sz="4" w:space="0" w:color="auto"/>
              <w:bottom w:val="dotted" w:sz="4" w:space="0" w:color="auto"/>
            </w:tcBorders>
            <w:vAlign w:val="center"/>
          </w:tcPr>
          <w:p w:rsidR="00671453" w:rsidRPr="00025B12" w:rsidRDefault="00671453" w:rsidP="0016023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296FE3" w:rsidRPr="00025B12" w:rsidTr="00296FE3">
        <w:trPr>
          <w:trHeight w:val="360"/>
        </w:trPr>
        <w:tc>
          <w:tcPr>
            <w:tcW w:w="721" w:type="pct"/>
            <w:tcBorders>
              <w:top w:val="dotted" w:sz="4" w:space="0" w:color="auto"/>
              <w:bottom w:val="dotted" w:sz="4" w:space="0" w:color="auto"/>
              <w:right w:val="dotted" w:sz="4" w:space="0" w:color="auto"/>
            </w:tcBorders>
          </w:tcPr>
          <w:p w:rsidR="00671453" w:rsidRPr="00025B12" w:rsidRDefault="00671453" w:rsidP="0066362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452" w:type="pct"/>
            <w:tcBorders>
              <w:top w:val="dotted" w:sz="4" w:space="0" w:color="auto"/>
              <w:left w:val="dotted" w:sz="4" w:space="0" w:color="auto"/>
              <w:bottom w:val="dotted" w:sz="4" w:space="0" w:color="auto"/>
              <w:right w:val="dotted" w:sz="4" w:space="0" w:color="auto"/>
            </w:tcBorders>
            <w:vAlign w:val="center"/>
          </w:tcPr>
          <w:p w:rsidR="00671453" w:rsidRPr="00025B12" w:rsidRDefault="00671453" w:rsidP="0016023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Seznamy akreditovaných kurzů ministerstev+</w:t>
            </w:r>
            <w:hyperlink w:anchor="Databáze_nabídky" w:history="1">
              <w:r w:rsidRPr="00025B12">
                <w:rPr>
                  <w:rStyle w:val="Hypertextovodkaz"/>
                  <w:rFonts w:ascii="Verdana" w:eastAsiaTheme="minorHAnsi" w:hAnsi="Verdana" w:cstheme="minorBidi"/>
                  <w:sz w:val="18"/>
                  <w:szCs w:val="18"/>
                </w:rPr>
                <w:t>DAK+databáze nabídky</w:t>
              </w:r>
            </w:hyperlink>
          </w:p>
        </w:tc>
        <w:tc>
          <w:tcPr>
            <w:tcW w:w="1436" w:type="pct"/>
            <w:tcBorders>
              <w:top w:val="dotted" w:sz="4" w:space="0" w:color="auto"/>
              <w:left w:val="dotted" w:sz="4" w:space="0" w:color="auto"/>
              <w:bottom w:val="dotted" w:sz="4" w:space="0" w:color="auto"/>
              <w:right w:val="dotted" w:sz="4" w:space="0" w:color="auto"/>
            </w:tcBorders>
            <w:vAlign w:val="center"/>
          </w:tcPr>
          <w:p w:rsidR="00671453" w:rsidRPr="00025B12" w:rsidRDefault="00671453" w:rsidP="00160234">
            <w:pPr>
              <w:spacing w:after="0" w:line="240" w:lineRule="auto"/>
              <w:jc w:val="center"/>
              <w:rPr>
                <w:rFonts w:ascii="Verdana" w:eastAsiaTheme="minorHAnsi" w:hAnsi="Verdana" w:cstheme="minorBidi"/>
                <w:spacing w:val="-4"/>
                <w:sz w:val="18"/>
                <w:szCs w:val="18"/>
              </w:rPr>
            </w:pPr>
            <w:r w:rsidRPr="00025B12">
              <w:rPr>
                <w:rFonts w:ascii="Verdana" w:eastAsiaTheme="minorHAnsi" w:hAnsi="Verdana" w:cstheme="minorBidi"/>
                <w:spacing w:val="-4"/>
                <w:sz w:val="18"/>
                <w:szCs w:val="18"/>
              </w:rPr>
              <w:t>Ministerstva+provozovatelé databází</w:t>
            </w:r>
          </w:p>
        </w:tc>
        <w:tc>
          <w:tcPr>
            <w:tcW w:w="687" w:type="pct"/>
            <w:tcBorders>
              <w:top w:val="dotted" w:sz="4" w:space="0" w:color="auto"/>
              <w:left w:val="dotted" w:sz="4" w:space="0" w:color="auto"/>
              <w:bottom w:val="dotted" w:sz="4" w:space="0" w:color="auto"/>
              <w:right w:val="dotted" w:sz="4" w:space="0" w:color="auto"/>
            </w:tcBorders>
            <w:vAlign w:val="center"/>
          </w:tcPr>
          <w:p w:rsidR="00671453" w:rsidRPr="00025B12" w:rsidRDefault="00671453" w:rsidP="0016023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704" w:type="pct"/>
            <w:tcBorders>
              <w:top w:val="dotted" w:sz="4" w:space="0" w:color="auto"/>
              <w:left w:val="dotted" w:sz="4" w:space="0" w:color="auto"/>
              <w:bottom w:val="dotted" w:sz="4" w:space="0" w:color="auto"/>
            </w:tcBorders>
            <w:vAlign w:val="center"/>
          </w:tcPr>
          <w:p w:rsidR="00671453" w:rsidRPr="00025B12" w:rsidRDefault="00671453" w:rsidP="0016023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Liší se u ministerstev</w:t>
            </w:r>
          </w:p>
        </w:tc>
      </w:tr>
      <w:tr w:rsidR="00296FE3" w:rsidRPr="00025B12" w:rsidTr="00296FE3">
        <w:trPr>
          <w:trHeight w:val="360"/>
        </w:trPr>
        <w:tc>
          <w:tcPr>
            <w:tcW w:w="721" w:type="pct"/>
            <w:tcBorders>
              <w:top w:val="dotted" w:sz="4" w:space="0" w:color="auto"/>
              <w:right w:val="dotted" w:sz="4" w:space="0" w:color="auto"/>
            </w:tcBorders>
          </w:tcPr>
          <w:p w:rsidR="006748AA" w:rsidRPr="00025B12" w:rsidRDefault="006748AA" w:rsidP="0066362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452" w:type="pct"/>
            <w:tcBorders>
              <w:top w:val="dotted" w:sz="4" w:space="0" w:color="auto"/>
              <w:left w:val="dotted" w:sz="4" w:space="0" w:color="auto"/>
              <w:right w:val="dotted" w:sz="4" w:space="0" w:color="auto"/>
            </w:tcBorders>
            <w:vAlign w:val="center"/>
          </w:tcPr>
          <w:p w:rsidR="006748AA" w:rsidRPr="00025B12" w:rsidRDefault="006748AA" w:rsidP="00DD020F">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Seznamy akreditovaných kurzů ministerstev+</w:t>
            </w:r>
            <w:hyperlink w:anchor="Databáze_nabídky" w:history="1">
              <w:r w:rsidRPr="00025B12">
                <w:rPr>
                  <w:rStyle w:val="Hypertextovodkaz"/>
                  <w:rFonts w:ascii="Verdana" w:eastAsiaTheme="minorHAnsi" w:hAnsi="Verdana" w:cstheme="minorBidi"/>
                  <w:sz w:val="18"/>
                  <w:szCs w:val="18"/>
                </w:rPr>
                <w:t>DAK+databáze nabídky</w:t>
              </w:r>
            </w:hyperlink>
          </w:p>
        </w:tc>
        <w:tc>
          <w:tcPr>
            <w:tcW w:w="1436" w:type="pct"/>
            <w:tcBorders>
              <w:top w:val="dotted" w:sz="4" w:space="0" w:color="auto"/>
              <w:left w:val="dotted" w:sz="4" w:space="0" w:color="auto"/>
              <w:right w:val="dotted" w:sz="4" w:space="0" w:color="auto"/>
            </w:tcBorders>
            <w:vAlign w:val="center"/>
          </w:tcPr>
          <w:p w:rsidR="006748AA" w:rsidRPr="00025B12" w:rsidRDefault="006748AA" w:rsidP="00160234">
            <w:pPr>
              <w:spacing w:after="0" w:line="240" w:lineRule="auto"/>
              <w:jc w:val="center"/>
              <w:rPr>
                <w:rFonts w:ascii="Verdana" w:eastAsiaTheme="minorHAnsi" w:hAnsi="Verdana" w:cstheme="minorBidi"/>
                <w:spacing w:val="-4"/>
                <w:sz w:val="18"/>
                <w:szCs w:val="18"/>
              </w:rPr>
            </w:pPr>
            <w:r w:rsidRPr="00025B12">
              <w:rPr>
                <w:rFonts w:ascii="Verdana" w:eastAsiaTheme="minorHAnsi" w:hAnsi="Verdana" w:cstheme="minorBidi"/>
                <w:spacing w:val="-4"/>
                <w:sz w:val="18"/>
                <w:szCs w:val="18"/>
              </w:rPr>
              <w:t>Ministerstva+provozovatelé databází</w:t>
            </w:r>
          </w:p>
        </w:tc>
        <w:tc>
          <w:tcPr>
            <w:tcW w:w="687" w:type="pct"/>
            <w:tcBorders>
              <w:top w:val="dotted" w:sz="4" w:space="0" w:color="auto"/>
              <w:left w:val="dotted" w:sz="4" w:space="0" w:color="auto"/>
              <w:right w:val="dotted" w:sz="4" w:space="0" w:color="auto"/>
            </w:tcBorders>
            <w:vAlign w:val="center"/>
          </w:tcPr>
          <w:p w:rsidR="006748AA" w:rsidRPr="00025B12" w:rsidRDefault="006748AA" w:rsidP="0016023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704" w:type="pct"/>
            <w:tcBorders>
              <w:top w:val="dotted" w:sz="4" w:space="0" w:color="auto"/>
              <w:left w:val="dotted" w:sz="4" w:space="0" w:color="auto"/>
            </w:tcBorders>
            <w:vAlign w:val="center"/>
          </w:tcPr>
          <w:p w:rsidR="006748AA" w:rsidRPr="00025B12" w:rsidRDefault="006748AA" w:rsidP="0016023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Liší se u ministerstev</w:t>
            </w:r>
          </w:p>
        </w:tc>
      </w:tr>
      <w:tr w:rsidR="0066362A" w:rsidRPr="00025B12" w:rsidTr="00296FE3">
        <w:trPr>
          <w:trHeight w:val="274"/>
        </w:trPr>
        <w:tc>
          <w:tcPr>
            <w:tcW w:w="4296" w:type="pct"/>
            <w:gridSpan w:val="4"/>
            <w:shd w:val="clear" w:color="auto" w:fill="663399"/>
          </w:tcPr>
          <w:p w:rsidR="0066362A" w:rsidRPr="00025B12" w:rsidRDefault="0066362A" w:rsidP="0066362A">
            <w:pPr>
              <w:spacing w:after="0" w:line="240" w:lineRule="auto"/>
              <w:jc w:val="center"/>
              <w:rPr>
                <w:rFonts w:ascii="Verdana" w:eastAsiaTheme="minorHAnsi" w:hAnsi="Verdana" w:cstheme="minorBidi"/>
                <w:sz w:val="18"/>
                <w:szCs w:val="18"/>
              </w:rPr>
            </w:pPr>
          </w:p>
        </w:tc>
        <w:tc>
          <w:tcPr>
            <w:tcW w:w="704" w:type="pct"/>
            <w:shd w:val="clear" w:color="auto" w:fill="663399"/>
            <w:vAlign w:val="center"/>
          </w:tcPr>
          <w:p w:rsidR="0066362A" w:rsidRPr="00025B12" w:rsidRDefault="0066362A" w:rsidP="0066362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66362A" w:rsidRPr="00025B12" w:rsidTr="00296FE3">
        <w:trPr>
          <w:trHeight w:val="1319"/>
        </w:trPr>
        <w:tc>
          <w:tcPr>
            <w:tcW w:w="5000" w:type="pct"/>
            <w:gridSpan w:val="5"/>
          </w:tcPr>
          <w:p w:rsidR="0066362A" w:rsidRPr="00025B12" w:rsidRDefault="0066362A" w:rsidP="0066362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66362A" w:rsidRPr="00025B12" w:rsidRDefault="000062A4" w:rsidP="000A3C2C">
            <w:pPr>
              <w:jc w:val="both"/>
              <w:rPr>
                <w:rFonts w:ascii="Verdana" w:eastAsiaTheme="minorHAnsi" w:hAnsi="Verdana" w:cstheme="minorBidi"/>
                <w:sz w:val="18"/>
                <w:szCs w:val="18"/>
              </w:rPr>
            </w:pPr>
            <w:r w:rsidRPr="00025B12">
              <w:rPr>
                <w:rFonts w:ascii="Verdana" w:eastAsiaTheme="minorHAnsi" w:hAnsi="Verdana" w:cstheme="minorBidi"/>
                <w:sz w:val="18"/>
                <w:szCs w:val="18"/>
              </w:rPr>
              <w:t>Indikátor navazuje na indikátor III.2.</w:t>
            </w:r>
            <w:r w:rsidR="000A3C2C" w:rsidRPr="00025B12">
              <w:rPr>
                <w:rFonts w:ascii="Verdana" w:eastAsiaTheme="minorHAnsi" w:hAnsi="Verdana" w:cstheme="minorBidi"/>
                <w:sz w:val="18"/>
                <w:szCs w:val="18"/>
              </w:rPr>
              <w:t>d3</w:t>
            </w:r>
            <w:r w:rsidRPr="00025B12">
              <w:rPr>
                <w:rFonts w:ascii="Verdana" w:eastAsiaTheme="minorHAnsi" w:hAnsi="Verdana" w:cstheme="minorBidi"/>
                <w:sz w:val="18"/>
                <w:szCs w:val="18"/>
              </w:rPr>
              <w:t xml:space="preserve"> a zjišťuje, jaké procento z akreditovaných rekvalifikačních kurzů je v daném období skutečně nabízeno. Podává tak obraz o skutečné nabídce tohoto segmentu dalšího vzdělávání.</w:t>
            </w:r>
          </w:p>
        </w:tc>
      </w:tr>
      <w:tr w:rsidR="0066362A" w:rsidRPr="00025B12" w:rsidTr="00296FE3">
        <w:trPr>
          <w:trHeight w:val="992"/>
        </w:trPr>
        <w:tc>
          <w:tcPr>
            <w:tcW w:w="5000" w:type="pct"/>
            <w:gridSpan w:val="5"/>
          </w:tcPr>
          <w:p w:rsidR="0066362A" w:rsidRPr="00025B12" w:rsidRDefault="0066362A" w:rsidP="0066362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0062A4" w:rsidRPr="00025B12" w:rsidRDefault="000062A4" w:rsidP="000062A4">
            <w:pPr>
              <w:jc w:val="both"/>
              <w:rPr>
                <w:rFonts w:ascii="Verdana" w:eastAsiaTheme="minorHAnsi" w:hAnsi="Verdana" w:cstheme="minorBidi"/>
                <w:sz w:val="18"/>
                <w:szCs w:val="18"/>
              </w:rPr>
            </w:pPr>
            <w:r w:rsidRPr="00025B12">
              <w:rPr>
                <w:rFonts w:ascii="Verdana" w:eastAsiaTheme="minorHAnsi" w:hAnsi="Verdana" w:cstheme="minorBidi"/>
                <w:sz w:val="18"/>
                <w:szCs w:val="18"/>
              </w:rPr>
              <w:t>Definice akreditova</w:t>
            </w:r>
            <w:r w:rsidR="000A3C2C" w:rsidRPr="00025B12">
              <w:rPr>
                <w:rFonts w:ascii="Verdana" w:eastAsiaTheme="minorHAnsi" w:hAnsi="Verdana" w:cstheme="minorBidi"/>
                <w:sz w:val="18"/>
                <w:szCs w:val="18"/>
              </w:rPr>
              <w:t>ných kurzů viz indikátor III.2.d3</w:t>
            </w:r>
            <w:r w:rsidRPr="00025B12">
              <w:rPr>
                <w:rFonts w:ascii="Verdana" w:eastAsiaTheme="minorHAnsi" w:hAnsi="Verdana" w:cstheme="minorBidi"/>
                <w:sz w:val="18"/>
                <w:szCs w:val="18"/>
              </w:rPr>
              <w:t xml:space="preserve">. </w:t>
            </w:r>
            <w:r w:rsidR="0066362A" w:rsidRPr="00025B12">
              <w:rPr>
                <w:rFonts w:ascii="Verdana" w:eastAsiaTheme="minorHAnsi" w:hAnsi="Verdana" w:cstheme="minorBidi"/>
                <w:sz w:val="18"/>
                <w:szCs w:val="18"/>
              </w:rPr>
              <w:t xml:space="preserve">Indikátor </w:t>
            </w:r>
            <w:r w:rsidRPr="00025B12">
              <w:rPr>
                <w:rFonts w:ascii="Verdana" w:eastAsiaTheme="minorHAnsi" w:hAnsi="Verdana" w:cstheme="minorBidi"/>
                <w:sz w:val="18"/>
                <w:szCs w:val="18"/>
              </w:rPr>
              <w:t xml:space="preserve">je vypočten jako podíl skutečně nabízených akreditovaných kurzů na celkovém počtu kurzů, které mají udělenou akreditaci. </w:t>
            </w:r>
          </w:p>
        </w:tc>
      </w:tr>
      <w:tr w:rsidR="0066362A" w:rsidRPr="00025B12" w:rsidTr="00296FE3">
        <w:trPr>
          <w:trHeight w:val="1053"/>
        </w:trPr>
        <w:tc>
          <w:tcPr>
            <w:tcW w:w="5000" w:type="pct"/>
            <w:gridSpan w:val="5"/>
          </w:tcPr>
          <w:p w:rsidR="0066362A" w:rsidRPr="00025B12" w:rsidRDefault="0066362A" w:rsidP="0066362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66362A" w:rsidRPr="00025B12" w:rsidRDefault="000062A4" w:rsidP="0066362A">
            <w:pPr>
              <w:jc w:val="both"/>
              <w:rPr>
                <w:rFonts w:ascii="Verdana" w:eastAsiaTheme="minorHAnsi" w:hAnsi="Verdana" w:cstheme="minorBidi"/>
                <w:sz w:val="18"/>
                <w:szCs w:val="18"/>
              </w:rPr>
            </w:pPr>
            <w:r w:rsidRPr="00025B12">
              <w:rPr>
                <w:rFonts w:ascii="Verdana" w:eastAsiaTheme="minorHAnsi" w:hAnsi="Verdana" w:cstheme="minorBidi"/>
                <w:sz w:val="18"/>
                <w:szCs w:val="18"/>
              </w:rPr>
              <w:t>Zdrojem dat pro výpočet celkového počtu akreditovaných kurzů</w:t>
            </w:r>
            <w:r w:rsidR="0066362A" w:rsidRPr="00025B12">
              <w:rPr>
                <w:rFonts w:ascii="Verdana" w:eastAsiaTheme="minorHAnsi" w:hAnsi="Verdana" w:cstheme="minorBidi"/>
                <w:sz w:val="18"/>
                <w:szCs w:val="18"/>
              </w:rPr>
              <w:t xml:space="preserve"> jsou seznamy zveřejňované na webových stránkách jednotlivých ministerstev. V případě akreditací udělovaných MŠMT je zdroje dat databáze EU-DAT, která je propojena se systémem DAK. V budoucnu bude databáze obsahovat i všechny akreditované kurzy realizované školami.</w:t>
            </w:r>
            <w:r w:rsidRPr="00025B12">
              <w:rPr>
                <w:rFonts w:ascii="Verdana" w:eastAsiaTheme="minorHAnsi" w:hAnsi="Verdana" w:cstheme="minorBidi"/>
                <w:sz w:val="18"/>
                <w:szCs w:val="18"/>
              </w:rPr>
              <w:t xml:space="preserve"> Získávání dat ze seznamů publikovaných na webových stránkách jednotlivých ministerstev je velmi pracné.</w:t>
            </w:r>
          </w:p>
          <w:p w:rsidR="000062A4" w:rsidRPr="00025B12" w:rsidRDefault="000062A4" w:rsidP="000062A4">
            <w:pPr>
              <w:jc w:val="both"/>
              <w:rPr>
                <w:rFonts w:ascii="Verdana" w:hAnsi="Verdana"/>
                <w:sz w:val="18"/>
                <w:szCs w:val="18"/>
              </w:rPr>
            </w:pPr>
            <w:r w:rsidRPr="00025B12">
              <w:rPr>
                <w:rFonts w:ascii="Verdana" w:hAnsi="Verdana"/>
                <w:sz w:val="18"/>
                <w:szCs w:val="18"/>
              </w:rPr>
              <w:t xml:space="preserve">Zdrojem dat pro výpočet počtu </w:t>
            </w:r>
            <w:r w:rsidR="00E26E2D" w:rsidRPr="00025B12">
              <w:rPr>
                <w:rFonts w:ascii="Verdana" w:hAnsi="Verdana"/>
                <w:sz w:val="18"/>
                <w:szCs w:val="18"/>
              </w:rPr>
              <w:t>nabízených</w:t>
            </w:r>
            <w:r w:rsidRPr="00025B12">
              <w:rPr>
                <w:rFonts w:ascii="Verdana" w:hAnsi="Verdana"/>
                <w:sz w:val="18"/>
                <w:szCs w:val="18"/>
              </w:rPr>
              <w:t xml:space="preserve"> kurzů je databáze nabídky DV inzerovaná na serverech EDUCity a EU-DAT, které umožňují publikaci indikátoru v krajském členění s pololetní periodicitou. Dostupnost data je vázána na spolupráci s provozovateli databází – společnosti Ivitera a Trexima. Z jejich databází jsou výpočty provedeny na základě specifické metodiky (viz podkladová studie</w:t>
            </w:r>
            <w:r w:rsidR="005D28B5" w:rsidRPr="00025B12">
              <w:rPr>
                <w:rFonts w:ascii="Verdana" w:hAnsi="Verdana"/>
                <w:sz w:val="18"/>
                <w:szCs w:val="18"/>
              </w:rPr>
              <w:t xml:space="preserve"> – příloha 5</w:t>
            </w:r>
            <w:r w:rsidRPr="00025B12">
              <w:rPr>
                <w:rFonts w:ascii="Verdana" w:hAnsi="Verdana"/>
                <w:sz w:val="18"/>
                <w:szCs w:val="18"/>
              </w:rPr>
              <w:t>). Zdrojem pro informaci o volných pracovních místech je databáze MPSV.</w:t>
            </w:r>
          </w:p>
          <w:p w:rsidR="000062A4" w:rsidRPr="00025B12" w:rsidRDefault="000062A4" w:rsidP="0066362A">
            <w:pPr>
              <w:jc w:val="both"/>
              <w:rPr>
                <w:rFonts w:ascii="Verdana" w:eastAsiaTheme="minorHAnsi" w:hAnsi="Verdana" w:cstheme="minorBidi"/>
                <w:sz w:val="18"/>
                <w:szCs w:val="18"/>
              </w:rPr>
            </w:pPr>
            <w:r w:rsidRPr="00025B12">
              <w:rPr>
                <w:rFonts w:ascii="Verdana" w:eastAsiaTheme="minorHAnsi" w:hAnsi="Verdana" w:cstheme="minorBidi"/>
                <w:sz w:val="18"/>
                <w:szCs w:val="18"/>
              </w:rPr>
              <w:t>Regionální údaje o celkovém počtu akreditovaných kurzů je možné získat pouze dle sídla vzdělávací společnosti, což nemusí vždy poskytovat dostatečný obrázek o nabídce v regionech.</w:t>
            </w:r>
          </w:p>
        </w:tc>
      </w:tr>
      <w:tr w:rsidR="0066362A" w:rsidRPr="00025B12" w:rsidTr="00296FE3">
        <w:trPr>
          <w:trHeight w:val="837"/>
        </w:trPr>
        <w:tc>
          <w:tcPr>
            <w:tcW w:w="5000" w:type="pct"/>
            <w:gridSpan w:val="5"/>
          </w:tcPr>
          <w:p w:rsidR="0066362A" w:rsidRPr="00025B12" w:rsidRDefault="0066362A" w:rsidP="0066362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0062A4" w:rsidRPr="00025B12" w:rsidRDefault="000062A4" w:rsidP="0066362A">
            <w:pPr>
              <w:jc w:val="both"/>
              <w:rPr>
                <w:rFonts w:ascii="Verdana" w:hAnsi="Verdana"/>
                <w:sz w:val="18"/>
                <w:szCs w:val="18"/>
              </w:rPr>
            </w:pPr>
            <w:r w:rsidRPr="00025B12">
              <w:rPr>
                <w:rFonts w:ascii="Verdana" w:hAnsi="Verdana"/>
                <w:sz w:val="18"/>
                <w:szCs w:val="18"/>
              </w:rPr>
              <w:t xml:space="preserve">Vzhledem k pracnosti získání dat je obsažena v datech pouze ukázka. </w:t>
            </w:r>
          </w:p>
          <w:p w:rsidR="0066362A" w:rsidRPr="00025B12" w:rsidRDefault="000062A4" w:rsidP="0066362A">
            <w:pPr>
              <w:jc w:val="both"/>
              <w:rPr>
                <w:rFonts w:ascii="Verdana" w:hAnsi="Verdana"/>
                <w:sz w:val="18"/>
                <w:szCs w:val="18"/>
              </w:rPr>
            </w:pPr>
            <w:r w:rsidRPr="00025B12">
              <w:rPr>
                <w:rFonts w:ascii="Verdana" w:hAnsi="Verdana"/>
                <w:sz w:val="18"/>
                <w:szCs w:val="18"/>
              </w:rPr>
              <w:t>Průběžně je jednáno o zapojení třetí největší databáze EduMenu (společnost Education, s.r.o.), zatím se ale data nepodařilo získat.</w:t>
            </w:r>
          </w:p>
        </w:tc>
      </w:tr>
    </w:tbl>
    <w:p w:rsidR="00C43089" w:rsidRPr="00025B12" w:rsidRDefault="004C030B" w:rsidP="000C6631">
      <w:pPr>
        <w:spacing w:after="0" w:line="240" w:lineRule="auto"/>
        <w:ind w:right="34"/>
        <w:jc w:val="both"/>
        <w:outlineLvl w:val="0"/>
        <w:rPr>
          <w:rFonts w:ascii="Verdana" w:hAnsi="Verdana"/>
          <w:b/>
          <w:sz w:val="24"/>
          <w:szCs w:val="24"/>
        </w:rPr>
      </w:pPr>
      <w:r w:rsidRPr="00025B12">
        <w:rPr>
          <w:rFonts w:ascii="Verdana" w:hAnsi="Verdana"/>
          <w:b/>
          <w:sz w:val="24"/>
          <w:szCs w:val="24"/>
        </w:rPr>
        <w:br w:type="page"/>
      </w:r>
      <w:r w:rsidR="00C43089" w:rsidRPr="00025B12">
        <w:rPr>
          <w:rFonts w:ascii="Verdana" w:hAnsi="Verdana"/>
          <w:b/>
          <w:sz w:val="24"/>
          <w:szCs w:val="24"/>
        </w:rPr>
        <w:lastRenderedPageBreak/>
        <w:t>III.3 Vzdělávací politika podniků</w:t>
      </w:r>
    </w:p>
    <w:p w:rsidR="00C43089" w:rsidRPr="00025B12" w:rsidRDefault="00C43089" w:rsidP="00C43089">
      <w:pPr>
        <w:spacing w:after="0" w:line="240" w:lineRule="auto"/>
        <w:ind w:right="34"/>
        <w:jc w:val="both"/>
        <w:rPr>
          <w:rFonts w:ascii="Verdana" w:hAnsi="Verdan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58"/>
        <w:gridCol w:w="2303"/>
        <w:gridCol w:w="2126"/>
        <w:gridCol w:w="1749"/>
      </w:tblGrid>
      <w:tr w:rsidR="00A00C4D" w:rsidRPr="00025B12" w:rsidTr="00D131AA">
        <w:trPr>
          <w:trHeight w:val="425"/>
        </w:trPr>
        <w:tc>
          <w:tcPr>
            <w:tcW w:w="1452" w:type="dxa"/>
            <w:tcBorders>
              <w:bottom w:val="single" w:sz="4" w:space="0" w:color="auto"/>
              <w:right w:val="single" w:sz="4" w:space="0" w:color="auto"/>
            </w:tcBorders>
            <w:shd w:val="clear" w:color="auto" w:fill="663399"/>
            <w:vAlign w:val="center"/>
          </w:tcPr>
          <w:p w:rsidR="00A00C4D" w:rsidRPr="00025B12" w:rsidRDefault="00A00C4D" w:rsidP="00D131AA">
            <w:pPr>
              <w:pStyle w:val="Kd"/>
              <w:rPr>
                <w:sz w:val="18"/>
                <w:szCs w:val="18"/>
              </w:rPr>
            </w:pPr>
            <w:r w:rsidRPr="00025B12">
              <w:rPr>
                <w:sz w:val="18"/>
                <w:szCs w:val="18"/>
              </w:rPr>
              <w:br w:type="page"/>
            </w:r>
            <w:r w:rsidRPr="00025B12">
              <w:rPr>
                <w:sz w:val="18"/>
                <w:szCs w:val="18"/>
              </w:rPr>
              <w:br w:type="page"/>
            </w:r>
            <w:bookmarkStart w:id="101" w:name="III32"/>
            <w:r w:rsidRPr="00025B12">
              <w:rPr>
                <w:sz w:val="18"/>
                <w:szCs w:val="18"/>
              </w:rPr>
              <w:t>III.3.</w:t>
            </w:r>
            <w:bookmarkEnd w:id="101"/>
            <w:r w:rsidRPr="00025B12">
              <w:rPr>
                <w:sz w:val="18"/>
                <w:szCs w:val="18"/>
              </w:rPr>
              <w:t>1</w:t>
            </w:r>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A00C4D" w:rsidRPr="00025B12" w:rsidRDefault="00A00C4D"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Strategie podniků při chybějících dovednostech</w:t>
            </w:r>
          </w:p>
        </w:tc>
      </w:tr>
      <w:tr w:rsidR="00A00C4D" w:rsidRPr="00025B12" w:rsidTr="00D131AA">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A00C4D" w:rsidRPr="00025B12" w:rsidRDefault="00A00C4D"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36" w:type="dxa"/>
            <w:gridSpan w:val="4"/>
            <w:vMerge/>
            <w:tcBorders>
              <w:left w:val="single" w:sz="4" w:space="0" w:color="auto"/>
              <w:bottom w:val="single" w:sz="4" w:space="0" w:color="auto"/>
              <w:right w:val="single" w:sz="4" w:space="0" w:color="auto"/>
            </w:tcBorders>
            <w:vAlign w:val="center"/>
          </w:tcPr>
          <w:p w:rsidR="00A00C4D" w:rsidRPr="00025B12" w:rsidRDefault="00A00C4D" w:rsidP="00D131AA">
            <w:pPr>
              <w:spacing w:after="0" w:line="240" w:lineRule="auto"/>
              <w:jc w:val="center"/>
              <w:rPr>
                <w:rFonts w:ascii="Verdana" w:eastAsiaTheme="minorHAnsi" w:hAnsi="Verdana" w:cstheme="minorBidi"/>
                <w:sz w:val="18"/>
                <w:szCs w:val="18"/>
              </w:rPr>
            </w:pPr>
          </w:p>
        </w:tc>
      </w:tr>
      <w:tr w:rsidR="00A00C4D" w:rsidRPr="00025B12" w:rsidTr="00296FE3">
        <w:trPr>
          <w:trHeight w:val="360"/>
        </w:trPr>
        <w:tc>
          <w:tcPr>
            <w:tcW w:w="1452" w:type="dxa"/>
            <w:tcBorders>
              <w:top w:val="single" w:sz="4" w:space="0" w:color="auto"/>
              <w:bottom w:val="dotted" w:sz="4" w:space="0" w:color="auto"/>
              <w:right w:val="dotted" w:sz="4" w:space="0" w:color="auto"/>
            </w:tcBorders>
          </w:tcPr>
          <w:p w:rsidR="00A00C4D" w:rsidRPr="00025B12" w:rsidRDefault="00A00C4D" w:rsidP="00D131AA">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A00C4D" w:rsidRPr="00025B12" w:rsidRDefault="00A00C4D"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A00C4D" w:rsidRPr="00025B12" w:rsidRDefault="00A00C4D"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A00C4D" w:rsidRPr="00025B12" w:rsidRDefault="00A00C4D"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A00C4D" w:rsidRPr="00025B12" w:rsidRDefault="00A00C4D"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A00C4D" w:rsidRPr="00025B12" w:rsidTr="00D131AA">
        <w:trPr>
          <w:trHeight w:val="360"/>
        </w:trPr>
        <w:tc>
          <w:tcPr>
            <w:tcW w:w="1452" w:type="dxa"/>
            <w:tcBorders>
              <w:top w:val="dotted" w:sz="4" w:space="0" w:color="auto"/>
              <w:bottom w:val="dotted" w:sz="4" w:space="0" w:color="auto"/>
              <w:right w:val="dotted" w:sz="4" w:space="0" w:color="auto"/>
            </w:tcBorders>
          </w:tcPr>
          <w:p w:rsidR="00A00C4D" w:rsidRPr="00025B12" w:rsidRDefault="00A00C4D"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A00C4D" w:rsidRPr="00025B12" w:rsidRDefault="00665F1D" w:rsidP="00D131AA">
            <w:pPr>
              <w:spacing w:after="0" w:line="240" w:lineRule="auto"/>
              <w:jc w:val="center"/>
              <w:rPr>
                <w:rFonts w:ascii="Verdana" w:eastAsiaTheme="minorHAnsi" w:hAnsi="Verdana" w:cstheme="minorBidi"/>
                <w:sz w:val="18"/>
                <w:szCs w:val="18"/>
              </w:rPr>
            </w:pPr>
            <w:hyperlink w:anchor="CVTS" w:history="1">
              <w:r w:rsidR="00A00C4D" w:rsidRPr="00025B12">
                <w:rPr>
                  <w:rStyle w:val="Hypertextovodkaz"/>
                  <w:rFonts w:ascii="Verdana" w:eastAsiaTheme="minorHAnsi" w:hAnsi="Verdana" w:cstheme="minorBidi"/>
                  <w:sz w:val="18"/>
                  <w:szCs w:val="18"/>
                </w:rPr>
                <w:t>CVTS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A00C4D" w:rsidRPr="00025B12" w:rsidRDefault="00A00C4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26" w:type="dxa"/>
            <w:tcBorders>
              <w:top w:val="dotted" w:sz="4" w:space="0" w:color="auto"/>
              <w:left w:val="dotted" w:sz="4" w:space="0" w:color="auto"/>
              <w:bottom w:val="dotted" w:sz="4" w:space="0" w:color="auto"/>
              <w:right w:val="dotted" w:sz="4" w:space="0" w:color="auto"/>
            </w:tcBorders>
            <w:vAlign w:val="center"/>
          </w:tcPr>
          <w:p w:rsidR="00A00C4D" w:rsidRPr="00025B12" w:rsidRDefault="00A00C4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bottom w:val="dotted" w:sz="4" w:space="0" w:color="auto"/>
            </w:tcBorders>
            <w:vAlign w:val="center"/>
          </w:tcPr>
          <w:p w:rsidR="00A00C4D" w:rsidRPr="00025B12" w:rsidRDefault="00A00C4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(2010)</w:t>
            </w:r>
          </w:p>
        </w:tc>
      </w:tr>
      <w:tr w:rsidR="00A00C4D" w:rsidRPr="00025B12" w:rsidTr="00D131AA">
        <w:trPr>
          <w:trHeight w:val="360"/>
        </w:trPr>
        <w:tc>
          <w:tcPr>
            <w:tcW w:w="1452" w:type="dxa"/>
            <w:tcBorders>
              <w:top w:val="dotted" w:sz="4" w:space="0" w:color="auto"/>
              <w:bottom w:val="dotted" w:sz="4" w:space="0" w:color="auto"/>
              <w:right w:val="dotted" w:sz="4" w:space="0" w:color="auto"/>
            </w:tcBorders>
          </w:tcPr>
          <w:p w:rsidR="00A00C4D" w:rsidRPr="00025B12" w:rsidRDefault="00A00C4D"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A00C4D" w:rsidRPr="00025B12" w:rsidRDefault="00665F1D" w:rsidP="00D131AA">
            <w:pPr>
              <w:spacing w:after="0" w:line="240" w:lineRule="auto"/>
              <w:jc w:val="center"/>
              <w:rPr>
                <w:rFonts w:ascii="Verdana" w:eastAsiaTheme="minorHAnsi" w:hAnsi="Verdana" w:cstheme="minorBidi"/>
                <w:sz w:val="18"/>
                <w:szCs w:val="18"/>
              </w:rPr>
            </w:pPr>
            <w:hyperlink w:anchor="CVTS" w:history="1">
              <w:r w:rsidR="00A00C4D" w:rsidRPr="00025B12">
                <w:rPr>
                  <w:rStyle w:val="Hypertextovodkaz"/>
                  <w:rFonts w:ascii="Verdana" w:eastAsiaTheme="minorHAnsi" w:hAnsi="Verdana" w:cstheme="minorBidi"/>
                  <w:sz w:val="18"/>
                  <w:szCs w:val="18"/>
                </w:rPr>
                <w:t>CVTS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A00C4D" w:rsidRPr="00025B12" w:rsidRDefault="00A00C4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bottom w:val="dotted" w:sz="4" w:space="0" w:color="auto"/>
              <w:right w:val="dotted" w:sz="4" w:space="0" w:color="auto"/>
            </w:tcBorders>
            <w:vAlign w:val="center"/>
          </w:tcPr>
          <w:p w:rsidR="00A00C4D" w:rsidRPr="00025B12" w:rsidRDefault="00A00C4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bottom w:val="dotted" w:sz="4" w:space="0" w:color="auto"/>
            </w:tcBorders>
            <w:vAlign w:val="center"/>
          </w:tcPr>
          <w:p w:rsidR="00A00C4D" w:rsidRPr="00025B12" w:rsidRDefault="00A00C4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(2010)</w:t>
            </w:r>
          </w:p>
        </w:tc>
      </w:tr>
      <w:tr w:rsidR="00A00C4D" w:rsidRPr="00025B12" w:rsidTr="00D131AA">
        <w:trPr>
          <w:trHeight w:val="360"/>
        </w:trPr>
        <w:tc>
          <w:tcPr>
            <w:tcW w:w="1452" w:type="dxa"/>
            <w:tcBorders>
              <w:top w:val="dotted" w:sz="4" w:space="0" w:color="auto"/>
              <w:right w:val="dotted" w:sz="4" w:space="0" w:color="auto"/>
            </w:tcBorders>
          </w:tcPr>
          <w:p w:rsidR="00A00C4D" w:rsidRPr="00025B12" w:rsidRDefault="00A00C4D"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A00C4D" w:rsidRPr="00025B12" w:rsidRDefault="00A00C4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303" w:type="dxa"/>
            <w:tcBorders>
              <w:top w:val="dotted" w:sz="4" w:space="0" w:color="auto"/>
              <w:left w:val="dotted" w:sz="4" w:space="0" w:color="auto"/>
              <w:right w:val="dotted" w:sz="4" w:space="0" w:color="auto"/>
            </w:tcBorders>
            <w:vAlign w:val="center"/>
          </w:tcPr>
          <w:p w:rsidR="00A00C4D" w:rsidRPr="00025B12" w:rsidRDefault="00A00C4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26" w:type="dxa"/>
            <w:tcBorders>
              <w:top w:val="dotted" w:sz="4" w:space="0" w:color="auto"/>
              <w:left w:val="dotted" w:sz="4" w:space="0" w:color="auto"/>
              <w:right w:val="dotted" w:sz="4" w:space="0" w:color="auto"/>
            </w:tcBorders>
            <w:vAlign w:val="center"/>
          </w:tcPr>
          <w:p w:rsidR="00A00C4D" w:rsidRPr="00025B12" w:rsidRDefault="00A00C4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49" w:type="dxa"/>
            <w:tcBorders>
              <w:top w:val="dotted" w:sz="4" w:space="0" w:color="auto"/>
              <w:left w:val="dotted" w:sz="4" w:space="0" w:color="auto"/>
            </w:tcBorders>
            <w:vAlign w:val="center"/>
          </w:tcPr>
          <w:p w:rsidR="00A00C4D" w:rsidRPr="00025B12" w:rsidRDefault="00A00C4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A00C4D" w:rsidRPr="00025B12" w:rsidTr="00D131AA">
        <w:trPr>
          <w:trHeight w:val="274"/>
        </w:trPr>
        <w:tc>
          <w:tcPr>
            <w:tcW w:w="7539" w:type="dxa"/>
            <w:gridSpan w:val="4"/>
            <w:shd w:val="clear" w:color="auto" w:fill="663399"/>
          </w:tcPr>
          <w:p w:rsidR="00A00C4D" w:rsidRPr="00025B12" w:rsidRDefault="00A00C4D" w:rsidP="00D131AA">
            <w:pPr>
              <w:spacing w:after="0" w:line="240" w:lineRule="auto"/>
              <w:jc w:val="center"/>
              <w:rPr>
                <w:rFonts w:ascii="Verdana" w:eastAsiaTheme="minorHAnsi" w:hAnsi="Verdana" w:cstheme="minorBidi"/>
                <w:sz w:val="18"/>
                <w:szCs w:val="18"/>
              </w:rPr>
            </w:pPr>
          </w:p>
        </w:tc>
        <w:tc>
          <w:tcPr>
            <w:tcW w:w="1749" w:type="dxa"/>
            <w:shd w:val="clear" w:color="auto" w:fill="663399"/>
          </w:tcPr>
          <w:p w:rsidR="00A00C4D" w:rsidRPr="00025B12" w:rsidRDefault="00A00C4D" w:rsidP="00D131AA">
            <w:pPr>
              <w:spacing w:after="0" w:line="240" w:lineRule="auto"/>
              <w:jc w:val="center"/>
              <w:rPr>
                <w:rFonts w:ascii="Verdana" w:eastAsiaTheme="minorHAnsi" w:hAnsi="Verdana" w:cstheme="minorBidi"/>
                <w:sz w:val="18"/>
                <w:szCs w:val="18"/>
              </w:rPr>
            </w:pPr>
          </w:p>
        </w:tc>
      </w:tr>
      <w:tr w:rsidR="00A00C4D" w:rsidRPr="00025B12" w:rsidTr="00D131AA">
        <w:trPr>
          <w:trHeight w:val="1319"/>
        </w:trPr>
        <w:tc>
          <w:tcPr>
            <w:tcW w:w="9288" w:type="dxa"/>
            <w:gridSpan w:val="5"/>
          </w:tcPr>
          <w:p w:rsidR="00A00C4D" w:rsidRPr="00025B12" w:rsidRDefault="00A00C4D"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A00C4D" w:rsidRPr="00025B12" w:rsidRDefault="00A00C4D" w:rsidP="00D131AA">
            <w:pPr>
              <w:jc w:val="both"/>
              <w:rPr>
                <w:rFonts w:ascii="Verdana" w:hAnsi="Verdana"/>
                <w:sz w:val="18"/>
                <w:szCs w:val="18"/>
              </w:rPr>
            </w:pPr>
            <w:r w:rsidRPr="00025B12">
              <w:rPr>
                <w:rFonts w:ascii="Verdana" w:hAnsi="Verdana"/>
                <w:sz w:val="18"/>
                <w:szCs w:val="18"/>
              </w:rPr>
              <w:t>Indikátor popisující strategie podniků naznačuje, jaké důsledky pro další vzdělávání má vyhodnocování budoucích potřeb podniků. Pokud podnik nemá kvalifikovanou pracovní sílu podle svých budoucích potřeb, může zaujmout různé strategie – školení stávajících pracovníků, nábor nových, kombinaci obojího nebo interní reorganizaci umožňující využít stávající dovednosti pracovníků. Každá z těchto variant klade jiné požadavky na další vzdělávání.</w:t>
            </w:r>
          </w:p>
        </w:tc>
      </w:tr>
      <w:tr w:rsidR="00A00C4D" w:rsidRPr="00025B12" w:rsidTr="00D131AA">
        <w:trPr>
          <w:trHeight w:val="992"/>
        </w:trPr>
        <w:tc>
          <w:tcPr>
            <w:tcW w:w="9288" w:type="dxa"/>
            <w:gridSpan w:val="5"/>
          </w:tcPr>
          <w:p w:rsidR="00A00C4D" w:rsidRPr="00025B12" w:rsidRDefault="00A00C4D"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A00C4D" w:rsidRPr="00025B12" w:rsidRDefault="000A3C2C" w:rsidP="00D131AA">
            <w:pPr>
              <w:jc w:val="both"/>
              <w:rPr>
                <w:rFonts w:ascii="Verdana" w:hAnsi="Verdana"/>
                <w:sz w:val="18"/>
                <w:szCs w:val="18"/>
              </w:rPr>
            </w:pPr>
            <w:r w:rsidRPr="00025B12">
              <w:rPr>
                <w:rFonts w:ascii="Verdana" w:hAnsi="Verdana"/>
                <w:sz w:val="18"/>
                <w:szCs w:val="18"/>
              </w:rPr>
              <w:t xml:space="preserve">Indikátor </w:t>
            </w:r>
            <w:r w:rsidR="00A00C4D" w:rsidRPr="00025B12">
              <w:rPr>
                <w:rFonts w:ascii="Verdana" w:hAnsi="Verdana"/>
                <w:sz w:val="18"/>
                <w:szCs w:val="18"/>
              </w:rPr>
              <w:t>sleduje procento podniků, které zaujímají uvedené strategie. Podniky odpovídají na otázku „jakým způsobem podnik obvykle reaguje na budoucí potřeby dovedností a schopností zaměstnaných osob?“. Možné strategie jsou:</w:t>
            </w:r>
          </w:p>
          <w:p w:rsidR="00A00C4D" w:rsidRPr="00025B12" w:rsidRDefault="00A00C4D" w:rsidP="00641D19">
            <w:pPr>
              <w:numPr>
                <w:ilvl w:val="0"/>
                <w:numId w:val="24"/>
              </w:numPr>
              <w:jc w:val="both"/>
              <w:rPr>
                <w:rFonts w:ascii="Verdana" w:hAnsi="Verdana"/>
                <w:sz w:val="18"/>
                <w:szCs w:val="18"/>
              </w:rPr>
            </w:pPr>
            <w:r w:rsidRPr="00025B12">
              <w:rPr>
                <w:rFonts w:ascii="Verdana" w:hAnsi="Verdana"/>
                <w:sz w:val="18"/>
                <w:szCs w:val="18"/>
              </w:rPr>
              <w:t>Poskytováním DOV zaměstnaným osobám</w:t>
            </w:r>
          </w:p>
          <w:p w:rsidR="00A00C4D" w:rsidRPr="00025B12" w:rsidRDefault="00A00C4D" w:rsidP="00641D19">
            <w:pPr>
              <w:numPr>
                <w:ilvl w:val="0"/>
                <w:numId w:val="24"/>
              </w:numPr>
              <w:jc w:val="both"/>
              <w:rPr>
                <w:rFonts w:ascii="Verdana" w:hAnsi="Verdana"/>
                <w:sz w:val="18"/>
                <w:szCs w:val="18"/>
              </w:rPr>
            </w:pPr>
            <w:r w:rsidRPr="00025B12">
              <w:rPr>
                <w:rFonts w:ascii="Verdana" w:hAnsi="Verdana"/>
                <w:sz w:val="18"/>
                <w:szCs w:val="18"/>
              </w:rPr>
              <w:t>Náborem nových zaměstnanců s odpovídající kvalifikací, dovednostmi a schopnostmi</w:t>
            </w:r>
          </w:p>
          <w:p w:rsidR="00A00C4D" w:rsidRPr="00025B12" w:rsidRDefault="00A00C4D" w:rsidP="00641D19">
            <w:pPr>
              <w:numPr>
                <w:ilvl w:val="0"/>
                <w:numId w:val="24"/>
              </w:numPr>
              <w:jc w:val="both"/>
              <w:rPr>
                <w:rFonts w:ascii="Verdana" w:hAnsi="Verdana"/>
                <w:sz w:val="18"/>
                <w:szCs w:val="18"/>
              </w:rPr>
            </w:pPr>
            <w:r w:rsidRPr="00025B12">
              <w:rPr>
                <w:rFonts w:ascii="Verdana" w:hAnsi="Verdana"/>
                <w:sz w:val="18"/>
                <w:szCs w:val="18"/>
              </w:rPr>
              <w:t>Náborem nových zaměstnanců kombinovaným se specifickou průpravou (odborným školením)</w:t>
            </w:r>
          </w:p>
          <w:p w:rsidR="00A00C4D" w:rsidRPr="00025B12" w:rsidRDefault="00A00C4D" w:rsidP="00641D19">
            <w:pPr>
              <w:numPr>
                <w:ilvl w:val="0"/>
                <w:numId w:val="24"/>
              </w:numPr>
              <w:jc w:val="both"/>
              <w:rPr>
                <w:rFonts w:ascii="Verdana" w:hAnsi="Verdana"/>
                <w:sz w:val="18"/>
                <w:szCs w:val="18"/>
              </w:rPr>
            </w:pPr>
            <w:r w:rsidRPr="00025B12">
              <w:rPr>
                <w:rFonts w:ascii="Verdana" w:hAnsi="Verdana"/>
                <w:sz w:val="18"/>
                <w:szCs w:val="18"/>
              </w:rPr>
              <w:t>Interní reorganizací směřující ke zlepšení využití stávajících dovedností a schopností (ve vazbě na budoucí potřeby)</w:t>
            </w:r>
          </w:p>
          <w:p w:rsidR="00A00C4D" w:rsidRPr="00025B12" w:rsidRDefault="00A00C4D" w:rsidP="00D131AA">
            <w:pPr>
              <w:jc w:val="both"/>
              <w:rPr>
                <w:rFonts w:ascii="Verdana" w:hAnsi="Verdana"/>
                <w:sz w:val="18"/>
                <w:szCs w:val="18"/>
              </w:rPr>
            </w:pPr>
            <w:r w:rsidRPr="00025B12">
              <w:rPr>
                <w:rFonts w:ascii="Verdana" w:hAnsi="Verdana"/>
                <w:sz w:val="18"/>
                <w:szCs w:val="18"/>
              </w:rPr>
              <w:t>Podnik může zaujmout i více strategií, indikátor představuje procento podniků, které praktikují každou z nich.</w:t>
            </w:r>
          </w:p>
        </w:tc>
      </w:tr>
      <w:tr w:rsidR="00A00C4D" w:rsidRPr="00025B12" w:rsidTr="00D131AA">
        <w:trPr>
          <w:trHeight w:val="1053"/>
        </w:trPr>
        <w:tc>
          <w:tcPr>
            <w:tcW w:w="9288" w:type="dxa"/>
            <w:gridSpan w:val="5"/>
          </w:tcPr>
          <w:p w:rsidR="00A00C4D" w:rsidRPr="00025B12" w:rsidRDefault="00A00C4D"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A00C4D" w:rsidRPr="00025B12" w:rsidRDefault="00A00C4D" w:rsidP="00D131AA">
            <w:pPr>
              <w:jc w:val="both"/>
              <w:rPr>
                <w:rFonts w:ascii="Verdana" w:hAnsi="Verdana"/>
                <w:sz w:val="18"/>
                <w:szCs w:val="18"/>
              </w:rPr>
            </w:pPr>
            <w:r w:rsidRPr="00025B12">
              <w:rPr>
                <w:rFonts w:ascii="Verdana" w:hAnsi="Verdana"/>
                <w:sz w:val="18"/>
                <w:szCs w:val="18"/>
              </w:rPr>
              <w:t>Data vycházejí z výsledků šetření CVTS, pro mezinárodní srovnání jsou přebírána z webových stránek Eurostatu. Regionální údaje nejsou k dispozici.</w:t>
            </w:r>
          </w:p>
        </w:tc>
      </w:tr>
      <w:tr w:rsidR="00A00C4D" w:rsidRPr="00025B12" w:rsidTr="00D131AA">
        <w:trPr>
          <w:trHeight w:val="837"/>
        </w:trPr>
        <w:tc>
          <w:tcPr>
            <w:tcW w:w="9288" w:type="dxa"/>
            <w:gridSpan w:val="5"/>
          </w:tcPr>
          <w:p w:rsidR="00A00C4D" w:rsidRPr="00025B12" w:rsidRDefault="00A00C4D"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A00C4D" w:rsidRPr="00025B12" w:rsidRDefault="00A00C4D" w:rsidP="00D131AA">
            <w:pPr>
              <w:jc w:val="both"/>
              <w:rPr>
                <w:rFonts w:ascii="Verdana" w:hAnsi="Verdana"/>
                <w:sz w:val="18"/>
                <w:szCs w:val="18"/>
              </w:rPr>
            </w:pPr>
            <w:r w:rsidRPr="00025B12">
              <w:rPr>
                <w:rFonts w:ascii="Verdana" w:hAnsi="Verdana"/>
                <w:sz w:val="18"/>
                <w:szCs w:val="18"/>
              </w:rPr>
              <w:t>Otázka je poprvé zařazena až v šetření CVTS4 za rok 2010.</w:t>
            </w:r>
          </w:p>
        </w:tc>
      </w:tr>
    </w:tbl>
    <w:p w:rsidR="00A00C4D" w:rsidRPr="00025B12" w:rsidRDefault="00A00C4D" w:rsidP="00C43089">
      <w:pPr>
        <w:spacing w:after="0" w:line="240" w:lineRule="auto"/>
        <w:ind w:right="34"/>
        <w:jc w:val="both"/>
        <w:rPr>
          <w:rFonts w:ascii="Verdana" w:hAnsi="Verdana"/>
          <w:b/>
          <w:sz w:val="24"/>
          <w:szCs w:val="24"/>
        </w:rPr>
      </w:pPr>
    </w:p>
    <w:p w:rsidR="004C030B" w:rsidRPr="00025B12" w:rsidRDefault="00A00C4D" w:rsidP="004C030B">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4C030B" w:rsidRPr="00025B12" w:rsidTr="00785B82">
        <w:trPr>
          <w:trHeight w:val="425"/>
        </w:trPr>
        <w:tc>
          <w:tcPr>
            <w:tcW w:w="1417" w:type="dxa"/>
            <w:tcBorders>
              <w:bottom w:val="single" w:sz="4" w:space="0" w:color="auto"/>
              <w:right w:val="single" w:sz="4" w:space="0" w:color="auto"/>
            </w:tcBorders>
            <w:shd w:val="clear" w:color="auto" w:fill="663399"/>
            <w:vAlign w:val="center"/>
          </w:tcPr>
          <w:p w:rsidR="004C030B" w:rsidRPr="00025B12" w:rsidRDefault="004C030B" w:rsidP="00A9209D">
            <w:pPr>
              <w:pStyle w:val="Kd"/>
              <w:rPr>
                <w:sz w:val="18"/>
                <w:szCs w:val="18"/>
              </w:rPr>
            </w:pPr>
            <w:r w:rsidRPr="00025B12">
              <w:rPr>
                <w:sz w:val="18"/>
                <w:szCs w:val="18"/>
              </w:rPr>
              <w:br w:type="page"/>
            </w:r>
            <w:r w:rsidRPr="00025B12">
              <w:rPr>
                <w:sz w:val="18"/>
                <w:szCs w:val="18"/>
              </w:rPr>
              <w:br w:type="page"/>
            </w:r>
            <w:bookmarkStart w:id="102" w:name="III31"/>
            <w:r w:rsidRPr="00025B12">
              <w:rPr>
                <w:sz w:val="18"/>
                <w:szCs w:val="18"/>
              </w:rPr>
              <w:t>III.3.</w:t>
            </w:r>
            <w:r w:rsidR="00741F81" w:rsidRPr="00025B12">
              <w:rPr>
                <w:sz w:val="18"/>
                <w:szCs w:val="18"/>
              </w:rPr>
              <w:t>d</w:t>
            </w:r>
            <w:r w:rsidRPr="00025B12">
              <w:rPr>
                <w:sz w:val="18"/>
                <w:szCs w:val="18"/>
              </w:rPr>
              <w:t>1</w:t>
            </w:r>
            <w:bookmarkEnd w:id="102"/>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4C030B" w:rsidRPr="00025B12" w:rsidRDefault="004C030B"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Vyhodnocování vzdělávacích potřeb podniku</w:t>
            </w:r>
          </w:p>
        </w:tc>
      </w:tr>
      <w:tr w:rsidR="004C030B" w:rsidRPr="00025B12" w:rsidTr="00785B82">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4C030B" w:rsidRPr="00025B12" w:rsidRDefault="00625F3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71" w:type="dxa"/>
            <w:gridSpan w:val="4"/>
            <w:vMerge/>
            <w:tcBorders>
              <w:left w:val="single" w:sz="4" w:space="0" w:color="auto"/>
              <w:bottom w:val="single" w:sz="4" w:space="0" w:color="auto"/>
              <w:right w:val="single"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296FE3">
        <w:trPr>
          <w:trHeight w:val="360"/>
        </w:trPr>
        <w:tc>
          <w:tcPr>
            <w:tcW w:w="1417" w:type="dxa"/>
            <w:tcBorders>
              <w:top w:val="single"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4C030B" w:rsidRPr="00025B12" w:rsidRDefault="004C030B"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C030B" w:rsidRPr="00025B12" w:rsidTr="00785B82">
        <w:trPr>
          <w:trHeight w:val="360"/>
        </w:trPr>
        <w:tc>
          <w:tcPr>
            <w:tcW w:w="1417" w:type="dxa"/>
            <w:tcBorders>
              <w:top w:val="dotted"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4C030B" w:rsidRPr="00025B12" w:rsidRDefault="00665F1D" w:rsidP="00A9209D">
            <w:pPr>
              <w:spacing w:after="0" w:line="240" w:lineRule="auto"/>
              <w:jc w:val="center"/>
              <w:rPr>
                <w:rFonts w:ascii="Verdana" w:eastAsiaTheme="minorHAnsi" w:hAnsi="Verdana" w:cstheme="minorBidi"/>
                <w:sz w:val="18"/>
                <w:szCs w:val="18"/>
              </w:rPr>
            </w:pPr>
            <w:hyperlink w:anchor="CVTS" w:history="1">
              <w:r w:rsidR="004C030B"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785B82" w:rsidRPr="00025B12" w:rsidTr="00785B82">
        <w:trPr>
          <w:trHeight w:val="360"/>
        </w:trPr>
        <w:tc>
          <w:tcPr>
            <w:tcW w:w="1417" w:type="dxa"/>
            <w:tcBorders>
              <w:top w:val="dotted" w:sz="4" w:space="0" w:color="auto"/>
              <w:bottom w:val="dotted" w:sz="4" w:space="0" w:color="auto"/>
              <w:right w:val="dotted" w:sz="4" w:space="0" w:color="auto"/>
            </w:tcBorders>
          </w:tcPr>
          <w:p w:rsidR="00785B82" w:rsidRPr="00025B12" w:rsidRDefault="00785B82"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785B82" w:rsidRPr="00025B12" w:rsidRDefault="00665F1D" w:rsidP="005F2F0A">
            <w:pPr>
              <w:spacing w:after="0" w:line="240" w:lineRule="auto"/>
              <w:jc w:val="center"/>
              <w:rPr>
                <w:rFonts w:ascii="Verdana" w:eastAsiaTheme="minorHAnsi" w:hAnsi="Verdana" w:cstheme="minorBidi"/>
                <w:sz w:val="18"/>
                <w:szCs w:val="18"/>
              </w:rPr>
            </w:pPr>
            <w:hyperlink w:anchor="CVTS" w:history="1">
              <w:r w:rsidR="00785B82"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4C030B" w:rsidRPr="00025B12" w:rsidTr="00785B82">
        <w:trPr>
          <w:trHeight w:val="360"/>
        </w:trPr>
        <w:tc>
          <w:tcPr>
            <w:tcW w:w="1417" w:type="dxa"/>
            <w:tcBorders>
              <w:top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20"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4"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C030B" w:rsidRPr="00025B12" w:rsidTr="00785B82">
        <w:trPr>
          <w:trHeight w:val="274"/>
        </w:trPr>
        <w:tc>
          <w:tcPr>
            <w:tcW w:w="7219" w:type="dxa"/>
            <w:gridSpan w:val="4"/>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2069" w:type="dxa"/>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785B82">
        <w:trPr>
          <w:trHeight w:val="1319"/>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C030B" w:rsidRPr="00025B12" w:rsidRDefault="004C030B" w:rsidP="00A9209D">
            <w:pPr>
              <w:jc w:val="both"/>
              <w:rPr>
                <w:rFonts w:ascii="Verdana" w:hAnsi="Verdana"/>
                <w:sz w:val="18"/>
                <w:szCs w:val="18"/>
              </w:rPr>
            </w:pPr>
            <w:r w:rsidRPr="00025B12">
              <w:rPr>
                <w:rFonts w:ascii="Verdana" w:hAnsi="Verdana"/>
                <w:sz w:val="18"/>
                <w:szCs w:val="18"/>
              </w:rPr>
              <w:t>Indikátor popisuje, jaké metody vyhodnocování vzdělávacích potřeb podniky využívají. Pomáhá tak porozumět, jakým způsobem je tvořena poptávka po vzdělávání ze strany podniků a nakolik pak tato poptávka odpovídá dlouhodobější koncepci rozvoje podniku, či do jaké míry je tvořena nahodile na základě aktuální potřeby.</w:t>
            </w:r>
          </w:p>
        </w:tc>
      </w:tr>
      <w:tr w:rsidR="004C030B" w:rsidRPr="00025B12" w:rsidTr="00785B82">
        <w:trPr>
          <w:trHeight w:val="992"/>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C030B" w:rsidRPr="00025B12" w:rsidRDefault="004C030B" w:rsidP="00A9209D">
            <w:pPr>
              <w:spacing w:after="0"/>
              <w:jc w:val="both"/>
              <w:rPr>
                <w:rFonts w:ascii="Verdana" w:hAnsi="Verdana"/>
                <w:sz w:val="18"/>
                <w:szCs w:val="18"/>
              </w:rPr>
            </w:pPr>
            <w:r w:rsidRPr="00025B12">
              <w:rPr>
                <w:rFonts w:ascii="Verdana" w:hAnsi="Verdana"/>
                <w:sz w:val="18"/>
                <w:szCs w:val="18"/>
              </w:rPr>
              <w:t>Indikátor se skládá z několika položek, přičemž u každé je uvedeno procento podniků realizujících danou metodu ze všech podniků, které ve sledovaném roce poskytly nějakou formu vzdělávání. Jednotlivými sledovanými položkami jsou:</w:t>
            </w:r>
          </w:p>
          <w:p w:rsidR="004C030B" w:rsidRPr="00025B12" w:rsidRDefault="004C030B" w:rsidP="005E2CC2">
            <w:pPr>
              <w:numPr>
                <w:ilvl w:val="0"/>
                <w:numId w:val="13"/>
              </w:numPr>
              <w:spacing w:after="0"/>
              <w:jc w:val="both"/>
              <w:rPr>
                <w:rFonts w:ascii="Verdana" w:hAnsi="Verdana"/>
                <w:sz w:val="18"/>
                <w:szCs w:val="18"/>
              </w:rPr>
            </w:pPr>
            <w:r w:rsidRPr="00025B12">
              <w:rPr>
                <w:rFonts w:ascii="Verdana" w:hAnsi="Verdana"/>
                <w:sz w:val="18"/>
                <w:szCs w:val="18"/>
              </w:rPr>
              <w:t>Podnik má osobu nebo útvar zodpovědný za další odborné vzdělávání zaměstnanců</w:t>
            </w:r>
          </w:p>
          <w:p w:rsidR="004C030B" w:rsidRPr="00025B12" w:rsidRDefault="004C030B" w:rsidP="005E2CC2">
            <w:pPr>
              <w:numPr>
                <w:ilvl w:val="0"/>
                <w:numId w:val="13"/>
              </w:numPr>
              <w:spacing w:after="0"/>
              <w:jc w:val="both"/>
              <w:rPr>
                <w:rFonts w:ascii="Verdana" w:hAnsi="Verdana"/>
                <w:sz w:val="18"/>
                <w:szCs w:val="18"/>
              </w:rPr>
            </w:pPr>
            <w:r w:rsidRPr="00025B12">
              <w:rPr>
                <w:rFonts w:ascii="Verdana" w:hAnsi="Verdana"/>
                <w:sz w:val="18"/>
                <w:szCs w:val="18"/>
              </w:rPr>
              <w:t>Podnik vyhodnocuje své budoucí potřeby dovedností</w:t>
            </w:r>
          </w:p>
          <w:p w:rsidR="004C030B" w:rsidRPr="00025B12" w:rsidRDefault="004C030B" w:rsidP="005E2CC2">
            <w:pPr>
              <w:numPr>
                <w:ilvl w:val="0"/>
                <w:numId w:val="13"/>
              </w:numPr>
              <w:spacing w:after="0"/>
              <w:jc w:val="both"/>
              <w:rPr>
                <w:rFonts w:ascii="Verdana" w:hAnsi="Verdana"/>
                <w:sz w:val="18"/>
                <w:szCs w:val="18"/>
              </w:rPr>
            </w:pPr>
            <w:r w:rsidRPr="00025B12">
              <w:rPr>
                <w:rFonts w:ascii="Verdana" w:hAnsi="Verdana"/>
                <w:sz w:val="18"/>
                <w:szCs w:val="18"/>
              </w:rPr>
              <w:t>Podnik vyhodnocuje vzdělávací potřeby zaměstnanců</w:t>
            </w:r>
          </w:p>
          <w:p w:rsidR="004C030B" w:rsidRPr="00025B12" w:rsidRDefault="004C030B" w:rsidP="005E2CC2">
            <w:pPr>
              <w:numPr>
                <w:ilvl w:val="0"/>
                <w:numId w:val="13"/>
              </w:numPr>
              <w:spacing w:after="0"/>
              <w:jc w:val="both"/>
              <w:rPr>
                <w:rFonts w:ascii="Verdana" w:hAnsi="Verdana"/>
                <w:sz w:val="18"/>
                <w:szCs w:val="18"/>
              </w:rPr>
            </w:pPr>
            <w:r w:rsidRPr="00025B12">
              <w:rPr>
                <w:rFonts w:ascii="Verdana" w:hAnsi="Verdana"/>
                <w:sz w:val="18"/>
                <w:szCs w:val="18"/>
              </w:rPr>
              <w:t>Podnik má vzdělávací plán</w:t>
            </w:r>
          </w:p>
          <w:p w:rsidR="004C030B" w:rsidRPr="00025B12" w:rsidRDefault="004C030B" w:rsidP="005E2CC2">
            <w:pPr>
              <w:numPr>
                <w:ilvl w:val="0"/>
                <w:numId w:val="13"/>
              </w:numPr>
              <w:jc w:val="both"/>
              <w:rPr>
                <w:rFonts w:ascii="Verdana" w:hAnsi="Verdana"/>
                <w:sz w:val="18"/>
                <w:szCs w:val="18"/>
              </w:rPr>
            </w:pPr>
            <w:r w:rsidRPr="00025B12">
              <w:rPr>
                <w:rFonts w:ascii="Verdana" w:hAnsi="Verdana"/>
                <w:sz w:val="18"/>
                <w:szCs w:val="18"/>
              </w:rPr>
              <w:t>Podnik má rozpočet na vzdělávání</w:t>
            </w:r>
          </w:p>
        </w:tc>
      </w:tr>
      <w:tr w:rsidR="004C030B" w:rsidRPr="00025B12" w:rsidTr="00785B82">
        <w:trPr>
          <w:trHeight w:val="1053"/>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C030B" w:rsidRPr="00025B12" w:rsidRDefault="004C030B" w:rsidP="00A9209D">
            <w:pPr>
              <w:jc w:val="both"/>
              <w:rPr>
                <w:rFonts w:ascii="Verdana" w:hAnsi="Verdana"/>
                <w:sz w:val="18"/>
                <w:szCs w:val="18"/>
              </w:rPr>
            </w:pPr>
            <w:r w:rsidRPr="00025B12">
              <w:rPr>
                <w:rFonts w:ascii="Verdana" w:hAnsi="Verdana"/>
                <w:sz w:val="18"/>
                <w:szCs w:val="18"/>
              </w:rPr>
              <w:t>Data vycházejí z výsledků šetření CVTS, pro mezinárodní srovnání jsou přebírána z webových stránek Eurostatu. Regionální údaje nejsou k dispozici.</w:t>
            </w:r>
          </w:p>
        </w:tc>
      </w:tr>
      <w:tr w:rsidR="004C030B" w:rsidRPr="00025B12" w:rsidTr="00785B82">
        <w:trPr>
          <w:trHeight w:val="837"/>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C030B" w:rsidRPr="00025B12" w:rsidRDefault="004C030B" w:rsidP="00A9209D">
            <w:pPr>
              <w:jc w:val="both"/>
              <w:rPr>
                <w:rFonts w:ascii="Verdana" w:hAnsi="Verdana"/>
                <w:sz w:val="18"/>
                <w:szCs w:val="18"/>
              </w:rPr>
            </w:pPr>
            <w:r w:rsidRPr="00025B12">
              <w:rPr>
                <w:rFonts w:ascii="Verdana" w:hAnsi="Verdana"/>
                <w:sz w:val="18"/>
                <w:szCs w:val="18"/>
              </w:rPr>
              <w:t>Šetření CVTS4 za rok 2010 již umožní sledovat nejen formy vyhodnocování vzdělávacích potřeb, ale také to, na jaké oblasti se toto vyhodnocení zaměřuje (profese, dovednosti, pracovní úkoly, formální kvalifikace).</w:t>
            </w:r>
          </w:p>
        </w:tc>
      </w:tr>
    </w:tbl>
    <w:p w:rsidR="004C030B" w:rsidRPr="00025B12" w:rsidRDefault="004C030B" w:rsidP="004C030B"/>
    <w:p w:rsidR="004C030B" w:rsidRPr="00025B12" w:rsidRDefault="004C030B" w:rsidP="004C030B">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4C030B" w:rsidRPr="00025B12" w:rsidTr="00785B82">
        <w:trPr>
          <w:trHeight w:val="425"/>
        </w:trPr>
        <w:tc>
          <w:tcPr>
            <w:tcW w:w="1417" w:type="dxa"/>
            <w:tcBorders>
              <w:bottom w:val="single" w:sz="4" w:space="0" w:color="auto"/>
              <w:right w:val="single" w:sz="4" w:space="0" w:color="auto"/>
            </w:tcBorders>
            <w:shd w:val="clear" w:color="auto" w:fill="663399"/>
            <w:vAlign w:val="center"/>
          </w:tcPr>
          <w:p w:rsidR="004C030B" w:rsidRPr="00025B12" w:rsidRDefault="004C030B" w:rsidP="00741F81">
            <w:pPr>
              <w:pStyle w:val="Kd"/>
              <w:rPr>
                <w:sz w:val="18"/>
                <w:szCs w:val="18"/>
              </w:rPr>
            </w:pPr>
            <w:r w:rsidRPr="00025B12">
              <w:rPr>
                <w:sz w:val="18"/>
                <w:szCs w:val="18"/>
              </w:rPr>
              <w:br w:type="page"/>
            </w:r>
            <w:r w:rsidRPr="00025B12">
              <w:rPr>
                <w:sz w:val="18"/>
                <w:szCs w:val="18"/>
              </w:rPr>
              <w:br w:type="page"/>
            </w:r>
            <w:bookmarkStart w:id="103" w:name="III33"/>
            <w:r w:rsidRPr="00025B12">
              <w:rPr>
                <w:sz w:val="18"/>
                <w:szCs w:val="18"/>
              </w:rPr>
              <w:t>III.3.</w:t>
            </w:r>
            <w:r w:rsidR="00741F81" w:rsidRPr="00025B12">
              <w:rPr>
                <w:sz w:val="18"/>
                <w:szCs w:val="18"/>
              </w:rPr>
              <w:t>d</w:t>
            </w:r>
            <w:bookmarkEnd w:id="103"/>
            <w:r w:rsidR="00741F81" w:rsidRPr="00025B12">
              <w:rPr>
                <w:sz w:val="18"/>
                <w:szCs w:val="18"/>
              </w:rPr>
              <w:t>2</w:t>
            </w:r>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4C030B" w:rsidRPr="00025B12" w:rsidRDefault="004C030B"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Vyhodnocování efektivity dalšího odborného vzdělávání</w:t>
            </w:r>
          </w:p>
        </w:tc>
      </w:tr>
      <w:tr w:rsidR="00625F38" w:rsidRPr="00025B12" w:rsidTr="00785B82">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625F38" w:rsidRPr="00025B12" w:rsidRDefault="00625F38" w:rsidP="00834CE6">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71" w:type="dxa"/>
            <w:gridSpan w:val="4"/>
            <w:vMerge/>
            <w:tcBorders>
              <w:left w:val="single" w:sz="4" w:space="0" w:color="auto"/>
              <w:bottom w:val="single" w:sz="4" w:space="0" w:color="auto"/>
              <w:right w:val="single" w:sz="4" w:space="0" w:color="auto"/>
            </w:tcBorders>
            <w:vAlign w:val="center"/>
          </w:tcPr>
          <w:p w:rsidR="00625F38" w:rsidRPr="00025B12" w:rsidRDefault="00625F38" w:rsidP="00A9209D">
            <w:pPr>
              <w:spacing w:after="0" w:line="240" w:lineRule="auto"/>
              <w:jc w:val="center"/>
              <w:rPr>
                <w:rFonts w:ascii="Verdana" w:eastAsiaTheme="minorHAnsi" w:hAnsi="Verdana" w:cstheme="minorBidi"/>
                <w:sz w:val="18"/>
                <w:szCs w:val="18"/>
              </w:rPr>
            </w:pPr>
          </w:p>
        </w:tc>
      </w:tr>
      <w:tr w:rsidR="004C030B" w:rsidRPr="00025B12" w:rsidTr="00296FE3">
        <w:trPr>
          <w:trHeight w:val="360"/>
        </w:trPr>
        <w:tc>
          <w:tcPr>
            <w:tcW w:w="1417" w:type="dxa"/>
            <w:tcBorders>
              <w:top w:val="single"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4C030B" w:rsidRPr="00025B12" w:rsidRDefault="004C030B"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785B82" w:rsidRPr="00025B12" w:rsidTr="00785B82">
        <w:trPr>
          <w:trHeight w:val="360"/>
        </w:trPr>
        <w:tc>
          <w:tcPr>
            <w:tcW w:w="1417" w:type="dxa"/>
            <w:tcBorders>
              <w:top w:val="dotted" w:sz="4" w:space="0" w:color="auto"/>
              <w:bottom w:val="dotted" w:sz="4" w:space="0" w:color="auto"/>
              <w:right w:val="dotted" w:sz="4" w:space="0" w:color="auto"/>
            </w:tcBorders>
          </w:tcPr>
          <w:p w:rsidR="00785B82" w:rsidRPr="00025B12" w:rsidRDefault="00785B82"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785B82" w:rsidRPr="00025B12" w:rsidRDefault="00665F1D" w:rsidP="005F2F0A">
            <w:pPr>
              <w:spacing w:after="0" w:line="240" w:lineRule="auto"/>
              <w:jc w:val="center"/>
              <w:rPr>
                <w:rFonts w:ascii="Verdana" w:eastAsiaTheme="minorHAnsi" w:hAnsi="Verdana" w:cstheme="minorBidi"/>
                <w:sz w:val="18"/>
                <w:szCs w:val="18"/>
              </w:rPr>
            </w:pPr>
            <w:hyperlink w:anchor="CVTS" w:history="1">
              <w:r w:rsidR="00785B82"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785B82" w:rsidRPr="00025B12" w:rsidTr="00785B82">
        <w:trPr>
          <w:trHeight w:val="360"/>
        </w:trPr>
        <w:tc>
          <w:tcPr>
            <w:tcW w:w="1417" w:type="dxa"/>
            <w:tcBorders>
              <w:top w:val="dotted" w:sz="4" w:space="0" w:color="auto"/>
              <w:bottom w:val="dotted" w:sz="4" w:space="0" w:color="auto"/>
              <w:right w:val="dotted" w:sz="4" w:space="0" w:color="auto"/>
            </w:tcBorders>
          </w:tcPr>
          <w:p w:rsidR="00785B82" w:rsidRPr="00025B12" w:rsidRDefault="00785B82"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785B82" w:rsidRPr="00025B12" w:rsidRDefault="00665F1D" w:rsidP="005F2F0A">
            <w:pPr>
              <w:spacing w:after="0" w:line="240" w:lineRule="auto"/>
              <w:jc w:val="center"/>
              <w:rPr>
                <w:rFonts w:ascii="Verdana" w:eastAsiaTheme="minorHAnsi" w:hAnsi="Verdana" w:cstheme="minorBidi"/>
                <w:sz w:val="18"/>
                <w:szCs w:val="18"/>
              </w:rPr>
            </w:pPr>
            <w:hyperlink w:anchor="CVTS" w:history="1">
              <w:r w:rsidR="00785B82"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4C030B" w:rsidRPr="00025B12" w:rsidTr="00785B82">
        <w:trPr>
          <w:trHeight w:val="360"/>
        </w:trPr>
        <w:tc>
          <w:tcPr>
            <w:tcW w:w="1417" w:type="dxa"/>
            <w:tcBorders>
              <w:top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20"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4"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C030B" w:rsidRPr="00025B12" w:rsidTr="00785B82">
        <w:trPr>
          <w:trHeight w:val="274"/>
        </w:trPr>
        <w:tc>
          <w:tcPr>
            <w:tcW w:w="7219" w:type="dxa"/>
            <w:gridSpan w:val="4"/>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2069" w:type="dxa"/>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785B82">
        <w:trPr>
          <w:trHeight w:val="1319"/>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C030B" w:rsidRPr="00025B12" w:rsidRDefault="004C030B" w:rsidP="00A9209D">
            <w:pPr>
              <w:jc w:val="both"/>
              <w:rPr>
                <w:rFonts w:ascii="Verdana" w:hAnsi="Verdana"/>
                <w:sz w:val="18"/>
                <w:szCs w:val="18"/>
              </w:rPr>
            </w:pPr>
            <w:r w:rsidRPr="00025B12">
              <w:rPr>
                <w:rFonts w:ascii="Verdana" w:hAnsi="Verdana"/>
                <w:sz w:val="18"/>
                <w:szCs w:val="18"/>
              </w:rPr>
              <w:t xml:space="preserve">Indikátor se věnuje tomu, jakým způsobem podniky vyhodnocují přínosy dalšího vzdělávání. Není možné z něj skutečně zjistit, jaká je efektivita dalšího odborného vzdělávání, ale poskytuje informace o procesech, které se v podnicích za účelem zjišťování </w:t>
            </w:r>
            <w:r w:rsidR="00E26E2D" w:rsidRPr="00025B12">
              <w:rPr>
                <w:rFonts w:ascii="Verdana" w:hAnsi="Verdana"/>
                <w:sz w:val="18"/>
                <w:szCs w:val="18"/>
              </w:rPr>
              <w:t>efektivity</w:t>
            </w:r>
            <w:r w:rsidRPr="00025B12">
              <w:rPr>
                <w:rFonts w:ascii="Verdana" w:hAnsi="Verdana"/>
                <w:sz w:val="18"/>
                <w:szCs w:val="18"/>
              </w:rPr>
              <w:t xml:space="preserve"> realizují. Indikátor tak může sloužit poskytovatelům dalšího vzdělávání lépe přizpůsobovat nabídku služeb.</w:t>
            </w:r>
          </w:p>
        </w:tc>
      </w:tr>
      <w:tr w:rsidR="004C030B" w:rsidRPr="00025B12" w:rsidTr="00785B82">
        <w:trPr>
          <w:trHeight w:val="992"/>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C030B" w:rsidRPr="00025B12" w:rsidRDefault="004C030B" w:rsidP="00A9209D">
            <w:pPr>
              <w:spacing w:after="0"/>
              <w:jc w:val="both"/>
              <w:rPr>
                <w:rFonts w:ascii="Verdana" w:hAnsi="Verdana"/>
                <w:sz w:val="18"/>
                <w:szCs w:val="18"/>
              </w:rPr>
            </w:pPr>
            <w:r w:rsidRPr="00025B12">
              <w:rPr>
                <w:rFonts w:ascii="Verdana" w:hAnsi="Verdana"/>
                <w:sz w:val="18"/>
                <w:szCs w:val="18"/>
              </w:rPr>
              <w:t xml:space="preserve">Indikátor sleduje, zda podnik využil následující formy vyhodnocování efektivity dalšího vzdělávání (v roce 1999 byly mírně odlišné od roku 2005 – viz </w:t>
            </w:r>
            <w:r w:rsidR="00521D9D" w:rsidRPr="00025B12">
              <w:rPr>
                <w:rFonts w:ascii="Verdana" w:hAnsi="Verdana"/>
                <w:sz w:val="18"/>
                <w:szCs w:val="18"/>
              </w:rPr>
              <w:t>data v příloze 4</w:t>
            </w:r>
            <w:r w:rsidRPr="00025B12">
              <w:rPr>
                <w:rFonts w:ascii="Verdana" w:hAnsi="Verdana"/>
                <w:sz w:val="18"/>
                <w:szCs w:val="18"/>
              </w:rPr>
              <w:t>):</w:t>
            </w:r>
          </w:p>
          <w:p w:rsidR="004C030B" w:rsidRPr="00025B12" w:rsidRDefault="004C030B" w:rsidP="005E2CC2">
            <w:pPr>
              <w:numPr>
                <w:ilvl w:val="0"/>
                <w:numId w:val="14"/>
              </w:numPr>
              <w:spacing w:after="0"/>
              <w:jc w:val="both"/>
              <w:rPr>
                <w:rFonts w:ascii="Verdana" w:hAnsi="Verdana"/>
                <w:sz w:val="18"/>
                <w:szCs w:val="18"/>
              </w:rPr>
            </w:pPr>
            <w:r w:rsidRPr="00025B12">
              <w:rPr>
                <w:rFonts w:ascii="Verdana" w:hAnsi="Verdana"/>
                <w:sz w:val="18"/>
                <w:szCs w:val="18"/>
              </w:rPr>
              <w:t>Sledování spokojenosti účastníků</w:t>
            </w:r>
          </w:p>
          <w:p w:rsidR="004C030B" w:rsidRPr="00025B12" w:rsidRDefault="004C030B" w:rsidP="005E2CC2">
            <w:pPr>
              <w:numPr>
                <w:ilvl w:val="0"/>
                <w:numId w:val="14"/>
              </w:numPr>
              <w:spacing w:after="0"/>
              <w:jc w:val="both"/>
              <w:rPr>
                <w:rFonts w:ascii="Verdana" w:hAnsi="Verdana"/>
                <w:sz w:val="18"/>
                <w:szCs w:val="18"/>
              </w:rPr>
            </w:pPr>
            <w:r w:rsidRPr="00025B12">
              <w:rPr>
                <w:rFonts w:ascii="Verdana" w:hAnsi="Verdana"/>
                <w:sz w:val="18"/>
                <w:szCs w:val="18"/>
              </w:rPr>
              <w:t>Provádění testů pro ověření nových dovedností</w:t>
            </w:r>
          </w:p>
          <w:p w:rsidR="004C030B" w:rsidRPr="00025B12" w:rsidRDefault="004C030B" w:rsidP="005E2CC2">
            <w:pPr>
              <w:numPr>
                <w:ilvl w:val="0"/>
                <w:numId w:val="14"/>
              </w:numPr>
              <w:spacing w:after="0"/>
              <w:jc w:val="both"/>
              <w:rPr>
                <w:rFonts w:ascii="Verdana" w:hAnsi="Verdana"/>
                <w:sz w:val="18"/>
                <w:szCs w:val="18"/>
              </w:rPr>
            </w:pPr>
            <w:r w:rsidRPr="00025B12">
              <w:rPr>
                <w:rFonts w:ascii="Verdana" w:hAnsi="Verdana"/>
                <w:sz w:val="18"/>
                <w:szCs w:val="18"/>
              </w:rPr>
              <w:t>Hodnocení pracovní výkonnosti</w:t>
            </w:r>
          </w:p>
          <w:p w:rsidR="004C030B" w:rsidRPr="00025B12" w:rsidRDefault="004C030B" w:rsidP="005E2CC2">
            <w:pPr>
              <w:numPr>
                <w:ilvl w:val="0"/>
                <w:numId w:val="14"/>
              </w:numPr>
              <w:spacing w:after="0"/>
              <w:jc w:val="both"/>
              <w:rPr>
                <w:rFonts w:ascii="Verdana" w:hAnsi="Verdana"/>
                <w:sz w:val="18"/>
                <w:szCs w:val="18"/>
              </w:rPr>
            </w:pPr>
            <w:r w:rsidRPr="00025B12">
              <w:rPr>
                <w:rFonts w:ascii="Verdana" w:hAnsi="Verdana"/>
                <w:sz w:val="18"/>
                <w:szCs w:val="18"/>
              </w:rPr>
              <w:t>Sledování, zda jsou nové dovednosti používány v práci</w:t>
            </w:r>
          </w:p>
          <w:p w:rsidR="004C030B" w:rsidRPr="00025B12" w:rsidRDefault="004C030B" w:rsidP="005E2CC2">
            <w:pPr>
              <w:numPr>
                <w:ilvl w:val="0"/>
                <w:numId w:val="14"/>
              </w:numPr>
              <w:jc w:val="both"/>
              <w:rPr>
                <w:rFonts w:ascii="Verdana" w:hAnsi="Verdana"/>
                <w:sz w:val="18"/>
                <w:szCs w:val="18"/>
              </w:rPr>
            </w:pPr>
            <w:r w:rsidRPr="00025B12">
              <w:rPr>
                <w:rFonts w:ascii="Verdana" w:hAnsi="Verdana"/>
                <w:sz w:val="18"/>
                <w:szCs w:val="18"/>
              </w:rPr>
              <w:t>Stanovení efektivity produkce prostřednictvím stanovených ukazatelů</w:t>
            </w:r>
          </w:p>
          <w:p w:rsidR="004C030B" w:rsidRPr="00025B12" w:rsidRDefault="004C030B" w:rsidP="00A9209D">
            <w:pPr>
              <w:jc w:val="both"/>
              <w:rPr>
                <w:rFonts w:ascii="Verdana" w:hAnsi="Verdana"/>
                <w:sz w:val="18"/>
                <w:szCs w:val="18"/>
              </w:rPr>
            </w:pPr>
            <w:r w:rsidRPr="00025B12">
              <w:rPr>
                <w:rFonts w:ascii="Verdana" w:hAnsi="Verdana"/>
                <w:sz w:val="18"/>
                <w:szCs w:val="18"/>
              </w:rPr>
              <w:t>Indikátor uvádí podíl podniků, které uvedly, že dané metody vyhodnocování používá vždy nebo často (podniky odpovídaly na čtyřstupňové škále, přičemž další dvě možnosti byly příležitostně a vůbec). V roce 1999 byly varianty odpovědí pouze ano-ne, indikátor tedy uvádí počet podniků, které uvedly „ano“.</w:t>
            </w:r>
          </w:p>
        </w:tc>
      </w:tr>
      <w:tr w:rsidR="004C030B" w:rsidRPr="00025B12" w:rsidTr="00785B82">
        <w:trPr>
          <w:trHeight w:val="1053"/>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C030B" w:rsidRPr="00025B12" w:rsidRDefault="004C030B" w:rsidP="00A9209D">
            <w:pPr>
              <w:jc w:val="both"/>
              <w:rPr>
                <w:rFonts w:ascii="Verdana" w:hAnsi="Verdana"/>
                <w:sz w:val="18"/>
                <w:szCs w:val="18"/>
              </w:rPr>
            </w:pPr>
            <w:r w:rsidRPr="00025B12">
              <w:rPr>
                <w:rFonts w:ascii="Verdana" w:hAnsi="Verdana"/>
                <w:sz w:val="18"/>
                <w:szCs w:val="18"/>
              </w:rPr>
              <w:t>Data vycházejí z výsledků šetření CVTS, pro mezinárodní srovnání jsou přebírána z webových stránek Eurostatu. Regionální údaje nejsou k dispozici.</w:t>
            </w:r>
          </w:p>
        </w:tc>
      </w:tr>
      <w:tr w:rsidR="004C030B" w:rsidRPr="00025B12" w:rsidTr="00785B82">
        <w:trPr>
          <w:trHeight w:val="837"/>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C030B" w:rsidRPr="00025B12" w:rsidRDefault="004C030B" w:rsidP="00A9209D">
            <w:pPr>
              <w:jc w:val="both"/>
              <w:rPr>
                <w:rFonts w:ascii="Verdana" w:hAnsi="Verdana"/>
                <w:sz w:val="18"/>
                <w:szCs w:val="18"/>
              </w:rPr>
            </w:pPr>
            <w:r w:rsidRPr="00025B12">
              <w:rPr>
                <w:rFonts w:ascii="Verdana" w:hAnsi="Verdana"/>
                <w:sz w:val="18"/>
                <w:szCs w:val="18"/>
              </w:rPr>
              <w:t>-</w:t>
            </w:r>
          </w:p>
        </w:tc>
      </w:tr>
    </w:tbl>
    <w:p w:rsidR="004C030B" w:rsidRPr="00025B12" w:rsidRDefault="004C030B" w:rsidP="004C030B"/>
    <w:p w:rsidR="00C43089" w:rsidRPr="00025B12" w:rsidRDefault="004C030B" w:rsidP="00625F38">
      <w:pPr>
        <w:spacing w:after="0" w:line="240" w:lineRule="auto"/>
        <w:ind w:right="34"/>
        <w:jc w:val="both"/>
        <w:outlineLvl w:val="0"/>
        <w:rPr>
          <w:rFonts w:ascii="Verdana" w:hAnsi="Verdana"/>
          <w:b/>
          <w:sz w:val="24"/>
          <w:szCs w:val="24"/>
        </w:rPr>
      </w:pPr>
      <w:r w:rsidRPr="00025B12">
        <w:br w:type="page"/>
      </w:r>
      <w:r w:rsidR="00C43089" w:rsidRPr="00025B12">
        <w:rPr>
          <w:rFonts w:ascii="Verdana" w:hAnsi="Verdana"/>
          <w:b/>
          <w:sz w:val="24"/>
          <w:szCs w:val="24"/>
        </w:rPr>
        <w:lastRenderedPageBreak/>
        <w:t>III.4. Kvalita dalšího vzdělávání</w:t>
      </w:r>
    </w:p>
    <w:p w:rsidR="00625F38" w:rsidRPr="00025B12" w:rsidRDefault="00625F38" w:rsidP="00625F38">
      <w:pPr>
        <w:spacing w:after="0" w:line="240" w:lineRule="auto"/>
        <w:ind w:right="34"/>
        <w:jc w:val="both"/>
        <w:outlineLvl w:val="0"/>
        <w:rPr>
          <w:rFonts w:ascii="Verdana" w:hAnsi="Verdana"/>
          <w:b/>
          <w:sz w:val="24"/>
          <w:szCs w:val="24"/>
        </w:rPr>
      </w:pPr>
    </w:p>
    <w:p w:rsidR="00C43089" w:rsidRPr="00025B12" w:rsidRDefault="00C43089" w:rsidP="00C43089">
      <w:pPr>
        <w:jc w:val="both"/>
        <w:rPr>
          <w:rFonts w:ascii="Verdana" w:hAnsi="Verdana"/>
          <w:sz w:val="20"/>
          <w:szCs w:val="20"/>
        </w:rPr>
      </w:pPr>
      <w:r w:rsidRPr="00025B12">
        <w:rPr>
          <w:rFonts w:ascii="Verdana" w:hAnsi="Verdana"/>
          <w:sz w:val="20"/>
          <w:szCs w:val="20"/>
        </w:rPr>
        <w:t>V současné době neexistuje indikátor, který by mohl měřit kvalitu dalšího vzdělávání. Byla diskutována možnost využití certifikace Qfor či ISO. Jedna je ale velmi málo rozšířena a druhá se zaměřuje na kvalitu procesů, nikoli dalšího vzdělávání jako takového. Základem pro výpočet indikátoru kvality se může v budoucnu stát rating vzdělávacích institucí.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812"/>
        <w:gridCol w:w="2217"/>
        <w:gridCol w:w="2031"/>
        <w:gridCol w:w="1723"/>
      </w:tblGrid>
      <w:tr w:rsidR="004C030B" w:rsidRPr="00025B12" w:rsidTr="00BC5156">
        <w:trPr>
          <w:trHeight w:val="425"/>
        </w:trPr>
        <w:tc>
          <w:tcPr>
            <w:tcW w:w="1505" w:type="dxa"/>
            <w:tcBorders>
              <w:bottom w:val="single" w:sz="4" w:space="0" w:color="auto"/>
              <w:right w:val="single" w:sz="4" w:space="0" w:color="auto"/>
            </w:tcBorders>
            <w:shd w:val="clear" w:color="auto" w:fill="663399"/>
            <w:vAlign w:val="center"/>
          </w:tcPr>
          <w:p w:rsidR="004C030B" w:rsidRPr="00025B12" w:rsidRDefault="004C030B" w:rsidP="00A9209D">
            <w:pPr>
              <w:pStyle w:val="Kd"/>
              <w:rPr>
                <w:sz w:val="18"/>
                <w:szCs w:val="18"/>
              </w:rPr>
            </w:pPr>
            <w:r w:rsidRPr="00025B12">
              <w:rPr>
                <w:sz w:val="18"/>
                <w:szCs w:val="18"/>
              </w:rPr>
              <w:br w:type="page"/>
            </w:r>
            <w:r w:rsidRPr="00025B12">
              <w:rPr>
                <w:sz w:val="18"/>
                <w:szCs w:val="18"/>
              </w:rPr>
              <w:br w:type="page"/>
            </w:r>
            <w:bookmarkStart w:id="104" w:name="III41"/>
            <w:r w:rsidRPr="00025B12">
              <w:rPr>
                <w:sz w:val="18"/>
                <w:szCs w:val="18"/>
              </w:rPr>
              <w:t>III.4.</w:t>
            </w:r>
            <w:r w:rsidR="00741F81" w:rsidRPr="00025B12">
              <w:rPr>
                <w:sz w:val="18"/>
                <w:szCs w:val="18"/>
              </w:rPr>
              <w:t>d</w:t>
            </w:r>
            <w:r w:rsidRPr="00025B12">
              <w:rPr>
                <w:sz w:val="18"/>
                <w:szCs w:val="18"/>
              </w:rPr>
              <w:t>1</w:t>
            </w:r>
            <w:bookmarkEnd w:id="104"/>
          </w:p>
        </w:tc>
        <w:tc>
          <w:tcPr>
            <w:tcW w:w="7783" w:type="dxa"/>
            <w:gridSpan w:val="4"/>
            <w:vMerge w:val="restart"/>
            <w:tcBorders>
              <w:top w:val="single" w:sz="4" w:space="0" w:color="auto"/>
              <w:left w:val="single" w:sz="4" w:space="0" w:color="auto"/>
              <w:right w:val="single" w:sz="4" w:space="0" w:color="auto"/>
            </w:tcBorders>
            <w:shd w:val="clear" w:color="auto" w:fill="663399"/>
            <w:vAlign w:val="center"/>
          </w:tcPr>
          <w:p w:rsidR="004C030B" w:rsidRPr="00025B12" w:rsidRDefault="004C030B"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Výsledky ratingu vzdělávacích institucí</w:t>
            </w:r>
          </w:p>
        </w:tc>
      </w:tr>
      <w:tr w:rsidR="004C030B" w:rsidRPr="00025B12" w:rsidTr="00BC5156">
        <w:trPr>
          <w:trHeight w:val="360"/>
        </w:trPr>
        <w:tc>
          <w:tcPr>
            <w:tcW w:w="1505" w:type="dxa"/>
            <w:tcBorders>
              <w:top w:val="single" w:sz="4" w:space="0" w:color="auto"/>
              <w:bottom w:val="single" w:sz="4" w:space="0" w:color="auto"/>
              <w:right w:val="single" w:sz="4" w:space="0" w:color="auto"/>
            </w:tcBorders>
            <w:shd w:val="clear" w:color="auto" w:fill="663399"/>
            <w:vAlign w:val="center"/>
          </w:tcPr>
          <w:p w:rsidR="004C030B" w:rsidRPr="00025B12" w:rsidRDefault="00625F3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783" w:type="dxa"/>
            <w:gridSpan w:val="4"/>
            <w:vMerge/>
            <w:tcBorders>
              <w:left w:val="single" w:sz="4" w:space="0" w:color="auto"/>
              <w:bottom w:val="single" w:sz="4" w:space="0" w:color="auto"/>
              <w:right w:val="single"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296FE3">
        <w:trPr>
          <w:trHeight w:val="360"/>
        </w:trPr>
        <w:tc>
          <w:tcPr>
            <w:tcW w:w="1505" w:type="dxa"/>
            <w:tcBorders>
              <w:top w:val="single"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812"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17"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1"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23" w:type="dxa"/>
            <w:tcBorders>
              <w:top w:val="single" w:sz="4" w:space="0" w:color="auto"/>
              <w:left w:val="dotted" w:sz="4" w:space="0" w:color="auto"/>
              <w:bottom w:val="dotted" w:sz="4" w:space="0" w:color="auto"/>
            </w:tcBorders>
            <w:vAlign w:val="center"/>
          </w:tcPr>
          <w:p w:rsidR="004C030B" w:rsidRPr="00025B12" w:rsidRDefault="004C030B"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C030B" w:rsidRPr="00025B12" w:rsidTr="00BC5156">
        <w:trPr>
          <w:trHeight w:val="360"/>
        </w:trPr>
        <w:tc>
          <w:tcPr>
            <w:tcW w:w="1505" w:type="dxa"/>
            <w:tcBorders>
              <w:top w:val="dotted"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12"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17"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1"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23" w:type="dxa"/>
            <w:tcBorders>
              <w:top w:val="dotted" w:sz="4" w:space="0" w:color="auto"/>
              <w:left w:val="dotted" w:sz="4" w:space="0" w:color="auto"/>
              <w:bottom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C030B" w:rsidRPr="00025B12" w:rsidTr="00BC5156">
        <w:trPr>
          <w:trHeight w:val="360"/>
        </w:trPr>
        <w:tc>
          <w:tcPr>
            <w:tcW w:w="1505" w:type="dxa"/>
            <w:tcBorders>
              <w:top w:val="dotted"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12" w:type="dxa"/>
            <w:tcBorders>
              <w:top w:val="dotted" w:sz="4" w:space="0" w:color="auto"/>
              <w:left w:val="dotted" w:sz="4" w:space="0" w:color="auto"/>
              <w:bottom w:val="dotted" w:sz="4" w:space="0" w:color="auto"/>
              <w:right w:val="dotted" w:sz="4" w:space="0" w:color="auto"/>
            </w:tcBorders>
            <w:vAlign w:val="center"/>
          </w:tcPr>
          <w:p w:rsidR="004C030B" w:rsidRPr="00025B12" w:rsidRDefault="00665F1D" w:rsidP="00A9209D">
            <w:pPr>
              <w:spacing w:after="0" w:line="240" w:lineRule="auto"/>
              <w:jc w:val="center"/>
              <w:rPr>
                <w:rFonts w:ascii="Verdana" w:eastAsiaTheme="minorHAnsi" w:hAnsi="Verdana" w:cstheme="minorBidi"/>
                <w:sz w:val="18"/>
                <w:szCs w:val="18"/>
              </w:rPr>
            </w:pPr>
            <w:hyperlink w:anchor="Rating" w:history="1">
              <w:r w:rsidR="004C030B" w:rsidRPr="00025B12">
                <w:rPr>
                  <w:rStyle w:val="Hypertextovodkaz"/>
                  <w:rFonts w:ascii="Verdana" w:eastAsiaTheme="minorHAnsi" w:hAnsi="Verdana" w:cstheme="minorBidi"/>
                  <w:sz w:val="18"/>
                  <w:szCs w:val="18"/>
                </w:rPr>
                <w:t>Rating vzdělávacích institucí</w:t>
              </w:r>
            </w:hyperlink>
          </w:p>
        </w:tc>
        <w:tc>
          <w:tcPr>
            <w:tcW w:w="2217"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1"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23" w:type="dxa"/>
            <w:tcBorders>
              <w:top w:val="dotted" w:sz="4" w:space="0" w:color="auto"/>
              <w:left w:val="dotted" w:sz="4" w:space="0" w:color="auto"/>
              <w:bottom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BC5156" w:rsidRPr="00025B12" w:rsidTr="00BC5156">
        <w:trPr>
          <w:trHeight w:val="360"/>
        </w:trPr>
        <w:tc>
          <w:tcPr>
            <w:tcW w:w="1505" w:type="dxa"/>
            <w:tcBorders>
              <w:top w:val="dotted" w:sz="4" w:space="0" w:color="auto"/>
              <w:right w:val="dotted" w:sz="4" w:space="0" w:color="auto"/>
            </w:tcBorders>
          </w:tcPr>
          <w:p w:rsidR="00BC5156" w:rsidRPr="00025B12" w:rsidRDefault="00BC5156"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12" w:type="dxa"/>
            <w:tcBorders>
              <w:top w:val="dotted" w:sz="4" w:space="0" w:color="auto"/>
              <w:left w:val="dotted" w:sz="4" w:space="0" w:color="auto"/>
              <w:right w:val="dotted" w:sz="4" w:space="0" w:color="auto"/>
            </w:tcBorders>
            <w:vAlign w:val="center"/>
          </w:tcPr>
          <w:p w:rsidR="00BC5156" w:rsidRPr="00025B12" w:rsidRDefault="00665F1D" w:rsidP="00500457">
            <w:pPr>
              <w:spacing w:after="0" w:line="240" w:lineRule="auto"/>
              <w:jc w:val="center"/>
              <w:rPr>
                <w:rFonts w:ascii="Verdana" w:eastAsiaTheme="minorHAnsi" w:hAnsi="Verdana" w:cstheme="minorBidi"/>
                <w:sz w:val="18"/>
                <w:szCs w:val="18"/>
              </w:rPr>
            </w:pPr>
            <w:hyperlink w:anchor="Rating" w:history="1">
              <w:r w:rsidR="00BC5156" w:rsidRPr="00025B12">
                <w:rPr>
                  <w:rStyle w:val="Hypertextovodkaz"/>
                  <w:rFonts w:ascii="Verdana" w:eastAsiaTheme="minorHAnsi" w:hAnsi="Verdana" w:cstheme="minorBidi"/>
                  <w:sz w:val="18"/>
                  <w:szCs w:val="18"/>
                </w:rPr>
                <w:t>Rating vzdělávacích institucí</w:t>
              </w:r>
            </w:hyperlink>
          </w:p>
        </w:tc>
        <w:tc>
          <w:tcPr>
            <w:tcW w:w="2217" w:type="dxa"/>
            <w:tcBorders>
              <w:top w:val="dotted" w:sz="4" w:space="0" w:color="auto"/>
              <w:left w:val="dotted" w:sz="4" w:space="0" w:color="auto"/>
              <w:right w:val="dotted" w:sz="4" w:space="0" w:color="auto"/>
            </w:tcBorders>
            <w:vAlign w:val="center"/>
          </w:tcPr>
          <w:p w:rsidR="00BC5156" w:rsidRPr="00025B12" w:rsidRDefault="00BC5156" w:rsidP="00500457">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1" w:type="dxa"/>
            <w:tcBorders>
              <w:top w:val="dotted" w:sz="4" w:space="0" w:color="auto"/>
              <w:left w:val="dotted" w:sz="4" w:space="0" w:color="auto"/>
              <w:right w:val="dotted" w:sz="4" w:space="0" w:color="auto"/>
            </w:tcBorders>
            <w:vAlign w:val="center"/>
          </w:tcPr>
          <w:p w:rsidR="00BC5156" w:rsidRPr="00025B12" w:rsidRDefault="00BC5156" w:rsidP="00500457">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23" w:type="dxa"/>
            <w:tcBorders>
              <w:top w:val="dotted" w:sz="4" w:space="0" w:color="auto"/>
              <w:left w:val="dotted" w:sz="4" w:space="0" w:color="auto"/>
            </w:tcBorders>
            <w:vAlign w:val="center"/>
          </w:tcPr>
          <w:p w:rsidR="00BC5156" w:rsidRPr="00025B12" w:rsidRDefault="00BC5156" w:rsidP="00500457">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4C030B" w:rsidRPr="00025B12" w:rsidTr="00BC5156">
        <w:trPr>
          <w:trHeight w:val="274"/>
        </w:trPr>
        <w:tc>
          <w:tcPr>
            <w:tcW w:w="7565" w:type="dxa"/>
            <w:gridSpan w:val="4"/>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723" w:type="dxa"/>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BC5156">
        <w:trPr>
          <w:trHeight w:val="1319"/>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C030B" w:rsidRPr="00025B12" w:rsidRDefault="004C030B" w:rsidP="00A9209D">
            <w:pPr>
              <w:jc w:val="both"/>
              <w:rPr>
                <w:rFonts w:ascii="Verdana" w:hAnsi="Verdana"/>
                <w:sz w:val="18"/>
                <w:szCs w:val="18"/>
              </w:rPr>
            </w:pPr>
            <w:r w:rsidRPr="00025B12">
              <w:rPr>
                <w:rFonts w:ascii="Verdana" w:hAnsi="Verdana"/>
                <w:sz w:val="18"/>
                <w:szCs w:val="18"/>
              </w:rPr>
              <w:t>Indikátor se snaží popisovat kvalitu dalšího vzdělávání.</w:t>
            </w:r>
          </w:p>
        </w:tc>
      </w:tr>
      <w:tr w:rsidR="004C030B" w:rsidRPr="00025B12" w:rsidTr="00BC5156">
        <w:trPr>
          <w:trHeight w:val="992"/>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C030B" w:rsidRPr="00025B12" w:rsidRDefault="004C030B" w:rsidP="00A9209D">
            <w:pPr>
              <w:jc w:val="both"/>
              <w:rPr>
                <w:rFonts w:ascii="Verdana" w:hAnsi="Verdana"/>
                <w:sz w:val="18"/>
                <w:szCs w:val="18"/>
              </w:rPr>
            </w:pPr>
            <w:r w:rsidRPr="00025B12">
              <w:rPr>
                <w:rFonts w:ascii="Verdana" w:hAnsi="Verdana"/>
                <w:sz w:val="18"/>
                <w:szCs w:val="18"/>
              </w:rPr>
              <w:t xml:space="preserve">V rámci zajišťování kvality dalšího vzdělávání v projektu Koncept vzniká systém ratingu dalšího vzdělávání, v němž mohou vzdělávací instituce dostávat hvězdičky kvality. Z tohoto hodnocení bude moci vycházet i budoucí indikátor, který bude ukazovat počet institucí se získanými </w:t>
            </w:r>
            <w:r w:rsidR="00E26E2D" w:rsidRPr="00025B12">
              <w:rPr>
                <w:rFonts w:ascii="Verdana" w:hAnsi="Verdana"/>
                <w:sz w:val="18"/>
                <w:szCs w:val="18"/>
              </w:rPr>
              <w:t>hvězdičkami</w:t>
            </w:r>
            <w:r w:rsidRPr="00025B12">
              <w:rPr>
                <w:rFonts w:ascii="Verdana" w:hAnsi="Verdana"/>
                <w:sz w:val="18"/>
                <w:szCs w:val="18"/>
              </w:rPr>
              <w:t xml:space="preserve"> a jejich podíl na celkovém počtu vzdělávacích</w:t>
            </w:r>
            <w:r w:rsidR="000A3C2C" w:rsidRPr="00025B12">
              <w:rPr>
                <w:rFonts w:ascii="Verdana" w:hAnsi="Verdana"/>
                <w:sz w:val="18"/>
                <w:szCs w:val="18"/>
              </w:rPr>
              <w:t xml:space="preserve"> institucí (viz indikátor II.5.1</w:t>
            </w:r>
            <w:r w:rsidRPr="00025B12">
              <w:rPr>
                <w:rFonts w:ascii="Verdana" w:hAnsi="Verdana"/>
                <w:sz w:val="18"/>
                <w:szCs w:val="18"/>
              </w:rPr>
              <w:t>)</w:t>
            </w:r>
          </w:p>
        </w:tc>
      </w:tr>
      <w:tr w:rsidR="004C030B" w:rsidRPr="00025B12" w:rsidTr="00BC5156">
        <w:trPr>
          <w:trHeight w:val="1053"/>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C030B" w:rsidRPr="00025B12" w:rsidRDefault="004C030B" w:rsidP="00A9209D">
            <w:pPr>
              <w:jc w:val="both"/>
              <w:rPr>
                <w:rFonts w:ascii="Verdana" w:hAnsi="Verdana"/>
                <w:sz w:val="18"/>
                <w:szCs w:val="18"/>
              </w:rPr>
            </w:pPr>
            <w:r w:rsidRPr="00025B12">
              <w:rPr>
                <w:rFonts w:ascii="Verdana" w:hAnsi="Verdana"/>
                <w:sz w:val="18"/>
                <w:szCs w:val="18"/>
              </w:rPr>
              <w:t>Data zatím nejsou k dispozici, jejich dostupnost je vázána na budoucí fungování ratingu.</w:t>
            </w:r>
          </w:p>
        </w:tc>
      </w:tr>
      <w:tr w:rsidR="004C030B" w:rsidRPr="00025B12" w:rsidTr="00BC5156">
        <w:trPr>
          <w:trHeight w:val="837"/>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C030B" w:rsidRPr="00025B12" w:rsidRDefault="004C030B" w:rsidP="00A9209D">
            <w:pPr>
              <w:jc w:val="both"/>
              <w:rPr>
                <w:rFonts w:ascii="Verdana" w:hAnsi="Verdana"/>
                <w:sz w:val="18"/>
                <w:szCs w:val="18"/>
              </w:rPr>
            </w:pPr>
            <w:r w:rsidRPr="00025B12">
              <w:rPr>
                <w:rFonts w:ascii="Verdana" w:hAnsi="Verdana"/>
                <w:sz w:val="18"/>
                <w:szCs w:val="18"/>
              </w:rPr>
              <w:t>Bylo by vhodné, aby rating poskytoval informace v podobě vhodné i pro statistické zpracování.</w:t>
            </w:r>
          </w:p>
        </w:tc>
      </w:tr>
    </w:tbl>
    <w:p w:rsidR="00C43089" w:rsidRPr="00025B12" w:rsidRDefault="00C43089" w:rsidP="00C43089">
      <w:pPr>
        <w:jc w:val="both"/>
        <w:rPr>
          <w:rFonts w:ascii="Verdana" w:hAnsi="Verdana"/>
          <w:sz w:val="20"/>
          <w:szCs w:val="20"/>
        </w:rPr>
      </w:pPr>
    </w:p>
    <w:p w:rsidR="00CF3559" w:rsidRPr="00025B12" w:rsidRDefault="00CF3559" w:rsidP="00C43089">
      <w:pPr>
        <w:jc w:val="both"/>
        <w:rPr>
          <w:rFonts w:ascii="Verdana" w:hAnsi="Verdana"/>
          <w:sz w:val="20"/>
          <w:szCs w:val="20"/>
        </w:rPr>
      </w:pPr>
    </w:p>
    <w:p w:rsidR="00C43089" w:rsidRPr="00025B12" w:rsidRDefault="004C030B" w:rsidP="000C6631">
      <w:pPr>
        <w:jc w:val="both"/>
        <w:outlineLvl w:val="0"/>
        <w:rPr>
          <w:rFonts w:ascii="Verdana" w:hAnsi="Verdana"/>
          <w:b/>
          <w:sz w:val="24"/>
          <w:szCs w:val="24"/>
        </w:rPr>
      </w:pPr>
      <w:r w:rsidRPr="00025B12">
        <w:rPr>
          <w:rFonts w:ascii="Verdana" w:hAnsi="Verdana"/>
          <w:b/>
          <w:sz w:val="24"/>
          <w:szCs w:val="24"/>
        </w:rPr>
        <w:br w:type="page"/>
      </w:r>
      <w:r w:rsidR="00C43089" w:rsidRPr="00025B12">
        <w:rPr>
          <w:rFonts w:ascii="Verdana" w:hAnsi="Verdana"/>
          <w:b/>
          <w:sz w:val="24"/>
          <w:szCs w:val="24"/>
        </w:rPr>
        <w:lastRenderedPageBreak/>
        <w:t>III.5 Bariéry účasti v dalším vzdělávání</w:t>
      </w:r>
    </w:p>
    <w:p w:rsidR="004C030B" w:rsidRPr="00025B12" w:rsidRDefault="004C030B" w:rsidP="004C030B">
      <w:bookmarkStart w:id="105" w:name="_Toc289351180"/>
      <w:bookmarkStart w:id="106" w:name="_Toc2893512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58"/>
        <w:gridCol w:w="2303"/>
        <w:gridCol w:w="2126"/>
        <w:gridCol w:w="1749"/>
      </w:tblGrid>
      <w:tr w:rsidR="004C030B" w:rsidRPr="00025B12" w:rsidTr="00785B82">
        <w:trPr>
          <w:trHeight w:val="425"/>
        </w:trPr>
        <w:tc>
          <w:tcPr>
            <w:tcW w:w="1452" w:type="dxa"/>
            <w:tcBorders>
              <w:bottom w:val="single" w:sz="4" w:space="0" w:color="auto"/>
              <w:right w:val="single" w:sz="4" w:space="0" w:color="auto"/>
            </w:tcBorders>
            <w:shd w:val="clear" w:color="auto" w:fill="663399"/>
            <w:vAlign w:val="center"/>
          </w:tcPr>
          <w:p w:rsidR="004C030B" w:rsidRPr="00025B12" w:rsidRDefault="004C030B" w:rsidP="00A9209D">
            <w:pPr>
              <w:pStyle w:val="Kd"/>
              <w:rPr>
                <w:sz w:val="18"/>
                <w:szCs w:val="18"/>
              </w:rPr>
            </w:pPr>
            <w:r w:rsidRPr="00025B12">
              <w:rPr>
                <w:sz w:val="18"/>
                <w:szCs w:val="18"/>
              </w:rPr>
              <w:br w:type="page"/>
            </w:r>
            <w:r w:rsidRPr="00025B12">
              <w:rPr>
                <w:sz w:val="18"/>
                <w:szCs w:val="18"/>
              </w:rPr>
              <w:br w:type="page"/>
            </w:r>
            <w:bookmarkStart w:id="107" w:name="III51"/>
            <w:r w:rsidRPr="00025B12">
              <w:rPr>
                <w:sz w:val="18"/>
                <w:szCs w:val="18"/>
              </w:rPr>
              <w:t>III.5.1</w:t>
            </w:r>
            <w:bookmarkEnd w:id="107"/>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4C030B" w:rsidRPr="00025B12" w:rsidRDefault="004C030B"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Podíl osob s neuspokojenou potřebou vzdělávání</w:t>
            </w:r>
          </w:p>
        </w:tc>
      </w:tr>
      <w:tr w:rsidR="004C030B" w:rsidRPr="00025B12" w:rsidTr="00785B82">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4C030B" w:rsidRPr="00025B12" w:rsidRDefault="00625F3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36" w:type="dxa"/>
            <w:gridSpan w:val="4"/>
            <w:vMerge/>
            <w:tcBorders>
              <w:left w:val="single" w:sz="4" w:space="0" w:color="auto"/>
              <w:bottom w:val="single" w:sz="4" w:space="0" w:color="auto"/>
              <w:right w:val="single"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296FE3">
        <w:trPr>
          <w:trHeight w:val="360"/>
        </w:trPr>
        <w:tc>
          <w:tcPr>
            <w:tcW w:w="1452" w:type="dxa"/>
            <w:tcBorders>
              <w:top w:val="single"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4C030B" w:rsidRPr="00025B12" w:rsidRDefault="004C030B"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9349B5" w:rsidRPr="00025B12" w:rsidTr="00785B82">
        <w:trPr>
          <w:trHeight w:val="360"/>
        </w:trPr>
        <w:tc>
          <w:tcPr>
            <w:tcW w:w="1452" w:type="dxa"/>
            <w:tcBorders>
              <w:top w:val="dotted" w:sz="4" w:space="0" w:color="auto"/>
              <w:bottom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9349B5" w:rsidRPr="00025B12" w:rsidRDefault="00665F1D" w:rsidP="00A9209D">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26"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bottom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9349B5" w:rsidRPr="00025B12" w:rsidTr="00785B82">
        <w:trPr>
          <w:trHeight w:val="360"/>
        </w:trPr>
        <w:tc>
          <w:tcPr>
            <w:tcW w:w="1452" w:type="dxa"/>
            <w:tcBorders>
              <w:top w:val="dotted" w:sz="4" w:space="0" w:color="auto"/>
              <w:bottom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9349B5" w:rsidRPr="00025B12" w:rsidRDefault="00665F1D" w:rsidP="005F2F0A">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bottom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9349B5" w:rsidRPr="00025B12" w:rsidTr="00785B82">
        <w:trPr>
          <w:trHeight w:val="360"/>
        </w:trPr>
        <w:tc>
          <w:tcPr>
            <w:tcW w:w="1452" w:type="dxa"/>
            <w:tcBorders>
              <w:top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9349B5" w:rsidRPr="00025B12" w:rsidRDefault="00665F1D" w:rsidP="005F2F0A">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03" w:type="dxa"/>
            <w:tcBorders>
              <w:top w:val="dotted" w:sz="4" w:space="0" w:color="auto"/>
              <w:left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4C030B" w:rsidRPr="00025B12" w:rsidTr="00785B82">
        <w:trPr>
          <w:trHeight w:val="274"/>
        </w:trPr>
        <w:tc>
          <w:tcPr>
            <w:tcW w:w="7539" w:type="dxa"/>
            <w:gridSpan w:val="4"/>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749" w:type="dxa"/>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785B82">
        <w:trPr>
          <w:trHeight w:val="1319"/>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C030B" w:rsidRPr="00025B12" w:rsidRDefault="004C030B" w:rsidP="00A9209D">
            <w:pPr>
              <w:jc w:val="both"/>
              <w:rPr>
                <w:rFonts w:ascii="Verdana" w:hAnsi="Verdana"/>
                <w:sz w:val="18"/>
                <w:szCs w:val="18"/>
              </w:rPr>
            </w:pPr>
            <w:r w:rsidRPr="00025B12">
              <w:rPr>
                <w:rFonts w:ascii="Verdana" w:hAnsi="Verdana"/>
                <w:sz w:val="18"/>
                <w:szCs w:val="18"/>
              </w:rPr>
              <w:t>Indikátor informuje o tom, jaké procento osob v dospělé populaci se vzdělávalo méně, než mělo zájem. Jedná se tedy o míru, v jaké je z různých důvodů neuspokojena poptávka populace po vzdělávání.</w:t>
            </w:r>
          </w:p>
          <w:p w:rsidR="004C030B" w:rsidRPr="00025B12" w:rsidRDefault="004C030B" w:rsidP="00A9209D">
            <w:pPr>
              <w:jc w:val="both"/>
              <w:rPr>
                <w:rFonts w:ascii="Verdana" w:hAnsi="Verdana"/>
                <w:sz w:val="18"/>
                <w:szCs w:val="18"/>
              </w:rPr>
            </w:pPr>
            <w:r w:rsidRPr="00025B12">
              <w:rPr>
                <w:rFonts w:ascii="Verdana" w:hAnsi="Verdana"/>
                <w:sz w:val="18"/>
                <w:szCs w:val="18"/>
              </w:rPr>
              <w:t>Z hlediska neuspokojené potřeby dalšího vzdělávání jsou důležité zejména podíly lidí, kteří se vzdělávají méně, než chtěli. Kritická je potom skupina lidí, kteří se nevzdělávali vůbec i přes svůj zájem, protože ukazuje na podíl lidí, kterým vnější bariéry zcela znemožnily přístup k dalšímu vzdělávání. Zajímavý je nicméně také podíl osob, kteří se ani neměli zájem vzdělávat, který vypovídá o tom, jak populace hodnotí potřebnost dalšího vzdělávání a jaká je míra postojových bariér.</w:t>
            </w:r>
          </w:p>
        </w:tc>
      </w:tr>
      <w:tr w:rsidR="004C030B" w:rsidRPr="00025B12" w:rsidTr="00785B82">
        <w:trPr>
          <w:trHeight w:val="992"/>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C030B" w:rsidRPr="00025B12" w:rsidRDefault="004C030B" w:rsidP="00A9209D">
            <w:pPr>
              <w:jc w:val="both"/>
              <w:rPr>
                <w:rFonts w:ascii="Verdana" w:hAnsi="Verdana"/>
                <w:sz w:val="18"/>
                <w:szCs w:val="18"/>
              </w:rPr>
            </w:pPr>
            <w:r w:rsidRPr="00025B12">
              <w:rPr>
                <w:rFonts w:ascii="Verdana" w:hAnsi="Verdana"/>
                <w:sz w:val="18"/>
                <w:szCs w:val="18"/>
              </w:rPr>
              <w:t>Indikátor ukazuje podíly populace ve čtyřech skupinách:</w:t>
            </w:r>
          </w:p>
          <w:p w:rsidR="004C030B" w:rsidRPr="00025B12" w:rsidRDefault="004C030B" w:rsidP="005E2CC2">
            <w:pPr>
              <w:numPr>
                <w:ilvl w:val="0"/>
                <w:numId w:val="15"/>
              </w:numPr>
              <w:spacing w:after="0"/>
              <w:ind w:left="714" w:hanging="357"/>
              <w:jc w:val="both"/>
              <w:rPr>
                <w:rFonts w:ascii="Verdana" w:hAnsi="Verdana"/>
                <w:sz w:val="18"/>
                <w:szCs w:val="18"/>
              </w:rPr>
            </w:pPr>
            <w:r w:rsidRPr="00025B12">
              <w:rPr>
                <w:rFonts w:ascii="Verdana" w:hAnsi="Verdana"/>
                <w:sz w:val="18"/>
                <w:szCs w:val="18"/>
              </w:rPr>
              <w:t>Lidé, kteří se nevzdělávali a ani o to neměli zájem</w:t>
            </w:r>
          </w:p>
          <w:p w:rsidR="004C030B" w:rsidRPr="00025B12" w:rsidRDefault="004C030B" w:rsidP="005E2CC2">
            <w:pPr>
              <w:numPr>
                <w:ilvl w:val="0"/>
                <w:numId w:val="15"/>
              </w:numPr>
              <w:spacing w:after="0"/>
              <w:ind w:left="714" w:hanging="357"/>
              <w:jc w:val="both"/>
              <w:rPr>
                <w:rFonts w:ascii="Verdana" w:hAnsi="Verdana"/>
                <w:sz w:val="18"/>
                <w:szCs w:val="18"/>
              </w:rPr>
            </w:pPr>
            <w:r w:rsidRPr="00025B12">
              <w:rPr>
                <w:rFonts w:ascii="Verdana" w:hAnsi="Verdana"/>
                <w:sz w:val="18"/>
                <w:szCs w:val="18"/>
              </w:rPr>
              <w:t>Lidé, kteří se vzdělávali právě v takové míře, ve které měli zájem</w:t>
            </w:r>
          </w:p>
          <w:p w:rsidR="004C030B" w:rsidRPr="00025B12" w:rsidRDefault="004C030B" w:rsidP="005E2CC2">
            <w:pPr>
              <w:numPr>
                <w:ilvl w:val="0"/>
                <w:numId w:val="15"/>
              </w:numPr>
              <w:spacing w:after="0"/>
              <w:ind w:left="714" w:hanging="357"/>
              <w:jc w:val="both"/>
              <w:rPr>
                <w:rFonts w:ascii="Verdana" w:hAnsi="Verdana"/>
                <w:sz w:val="18"/>
                <w:szCs w:val="18"/>
              </w:rPr>
            </w:pPr>
            <w:r w:rsidRPr="00025B12">
              <w:rPr>
                <w:rFonts w:ascii="Verdana" w:hAnsi="Verdana"/>
                <w:sz w:val="18"/>
                <w:szCs w:val="18"/>
              </w:rPr>
              <w:t>Lidé, kteří se nevzdělávali, přestože o to měli zájem</w:t>
            </w:r>
          </w:p>
          <w:p w:rsidR="004C030B" w:rsidRPr="00025B12" w:rsidRDefault="004C030B" w:rsidP="005E2CC2">
            <w:pPr>
              <w:numPr>
                <w:ilvl w:val="0"/>
                <w:numId w:val="15"/>
              </w:numPr>
              <w:jc w:val="both"/>
              <w:rPr>
                <w:rFonts w:ascii="Verdana" w:hAnsi="Verdana"/>
                <w:sz w:val="18"/>
                <w:szCs w:val="18"/>
              </w:rPr>
            </w:pPr>
            <w:r w:rsidRPr="00025B12">
              <w:rPr>
                <w:rFonts w:ascii="Verdana" w:hAnsi="Verdana"/>
                <w:sz w:val="18"/>
                <w:szCs w:val="18"/>
              </w:rPr>
              <w:t>Lidé, kteří se vzdělávali, ale méně, než chtěli</w:t>
            </w:r>
          </w:p>
          <w:p w:rsidR="004C030B" w:rsidRPr="00025B12" w:rsidRDefault="004C030B" w:rsidP="00A9209D">
            <w:pPr>
              <w:jc w:val="both"/>
              <w:rPr>
                <w:rFonts w:ascii="Verdana" w:hAnsi="Verdana"/>
                <w:sz w:val="18"/>
                <w:szCs w:val="18"/>
              </w:rPr>
            </w:pPr>
            <w:r w:rsidRPr="00025B12">
              <w:rPr>
                <w:rFonts w:ascii="Verdana" w:hAnsi="Verdana"/>
                <w:sz w:val="18"/>
                <w:szCs w:val="18"/>
              </w:rPr>
              <w:t>Údaje se vztahují k populaci ve věku 25-64 let a k časovému horizontu 12 měsíců před dotazováním.</w:t>
            </w:r>
          </w:p>
        </w:tc>
      </w:tr>
      <w:tr w:rsidR="004C030B" w:rsidRPr="00025B12" w:rsidTr="00785B82">
        <w:trPr>
          <w:trHeight w:val="1053"/>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C030B" w:rsidRPr="00025B12" w:rsidRDefault="004C030B" w:rsidP="00A9209D">
            <w:pPr>
              <w:jc w:val="both"/>
              <w:rPr>
                <w:rFonts w:ascii="Verdana" w:hAnsi="Verdana"/>
                <w:sz w:val="18"/>
                <w:szCs w:val="18"/>
              </w:rPr>
            </w:pPr>
            <w:r w:rsidRPr="00025B12">
              <w:rPr>
                <w:rFonts w:ascii="Verdana" w:hAnsi="Verdana"/>
                <w:sz w:val="18"/>
                <w:szCs w:val="18"/>
              </w:rPr>
              <w:t>Pro mezinárodní srovnání jsou údaje přebírány z webových stránek Eurostatu. Regionální údaje z šetření nejsou publikovány, byl by potřebný výpočet z mikrodat.</w:t>
            </w:r>
            <w:r w:rsidR="005D28B5" w:rsidRPr="00025B12">
              <w:rPr>
                <w:rFonts w:ascii="Verdana" w:hAnsi="Verdana"/>
                <w:sz w:val="18"/>
                <w:szCs w:val="18"/>
              </w:rPr>
              <w:t xml:space="preserve"> Regionální spolehlivost nutno ověřit na mikrodatech.</w:t>
            </w:r>
          </w:p>
        </w:tc>
      </w:tr>
      <w:tr w:rsidR="004C030B" w:rsidRPr="00025B12" w:rsidTr="00785B82">
        <w:trPr>
          <w:trHeight w:val="837"/>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C030B" w:rsidRPr="00025B12" w:rsidRDefault="004C030B" w:rsidP="00A9209D">
            <w:pPr>
              <w:jc w:val="both"/>
              <w:rPr>
                <w:rFonts w:ascii="Verdana" w:hAnsi="Verdana"/>
                <w:sz w:val="18"/>
                <w:szCs w:val="18"/>
              </w:rPr>
            </w:pPr>
            <w:r w:rsidRPr="00025B12">
              <w:rPr>
                <w:rFonts w:ascii="Verdana" w:hAnsi="Verdana"/>
                <w:sz w:val="18"/>
                <w:szCs w:val="18"/>
              </w:rPr>
              <w:t>-</w:t>
            </w:r>
          </w:p>
        </w:tc>
      </w:tr>
    </w:tbl>
    <w:p w:rsidR="004C030B" w:rsidRPr="00025B12" w:rsidRDefault="004C030B" w:rsidP="004C030B"/>
    <w:p w:rsidR="004C030B" w:rsidRPr="00025B12" w:rsidRDefault="004C030B" w:rsidP="004C030B">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58"/>
        <w:gridCol w:w="2303"/>
        <w:gridCol w:w="2126"/>
        <w:gridCol w:w="1749"/>
      </w:tblGrid>
      <w:tr w:rsidR="004C030B" w:rsidRPr="00025B12" w:rsidTr="00785B82">
        <w:trPr>
          <w:trHeight w:val="425"/>
        </w:trPr>
        <w:tc>
          <w:tcPr>
            <w:tcW w:w="1452" w:type="dxa"/>
            <w:tcBorders>
              <w:bottom w:val="single" w:sz="4" w:space="0" w:color="auto"/>
              <w:right w:val="single" w:sz="4" w:space="0" w:color="auto"/>
            </w:tcBorders>
            <w:shd w:val="clear" w:color="auto" w:fill="663399"/>
            <w:vAlign w:val="center"/>
          </w:tcPr>
          <w:p w:rsidR="004C030B" w:rsidRPr="00025B12" w:rsidRDefault="004C030B" w:rsidP="00A9209D">
            <w:pPr>
              <w:pStyle w:val="Kd"/>
              <w:rPr>
                <w:sz w:val="18"/>
                <w:szCs w:val="18"/>
              </w:rPr>
            </w:pPr>
            <w:r w:rsidRPr="00025B12">
              <w:rPr>
                <w:sz w:val="18"/>
                <w:szCs w:val="18"/>
              </w:rPr>
              <w:br w:type="page"/>
            </w:r>
            <w:r w:rsidRPr="00025B12">
              <w:rPr>
                <w:sz w:val="18"/>
                <w:szCs w:val="18"/>
              </w:rPr>
              <w:br w:type="page"/>
            </w:r>
            <w:bookmarkStart w:id="108" w:name="III52"/>
            <w:r w:rsidRPr="00025B12">
              <w:rPr>
                <w:sz w:val="18"/>
                <w:szCs w:val="18"/>
              </w:rPr>
              <w:t>III.5.2</w:t>
            </w:r>
            <w:bookmarkEnd w:id="108"/>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4C030B" w:rsidRPr="00025B12" w:rsidRDefault="004C030B"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Typy bariér v účasti na dalším vzdělávání</w:t>
            </w:r>
          </w:p>
        </w:tc>
      </w:tr>
      <w:tr w:rsidR="004C030B" w:rsidRPr="00025B12" w:rsidTr="00785B82">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4C030B" w:rsidRPr="00025B12" w:rsidRDefault="00625F3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36" w:type="dxa"/>
            <w:gridSpan w:val="4"/>
            <w:vMerge/>
            <w:tcBorders>
              <w:left w:val="single" w:sz="4" w:space="0" w:color="auto"/>
              <w:bottom w:val="single" w:sz="4" w:space="0" w:color="auto"/>
              <w:right w:val="single"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296FE3">
        <w:trPr>
          <w:trHeight w:val="360"/>
        </w:trPr>
        <w:tc>
          <w:tcPr>
            <w:tcW w:w="1452" w:type="dxa"/>
            <w:tcBorders>
              <w:top w:val="single"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4C030B" w:rsidRPr="00025B12" w:rsidRDefault="004C030B"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9349B5" w:rsidRPr="00025B12" w:rsidTr="00785B82">
        <w:trPr>
          <w:trHeight w:val="360"/>
        </w:trPr>
        <w:tc>
          <w:tcPr>
            <w:tcW w:w="1452" w:type="dxa"/>
            <w:tcBorders>
              <w:top w:val="dotted" w:sz="4" w:space="0" w:color="auto"/>
              <w:bottom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9349B5" w:rsidRPr="00025B12" w:rsidRDefault="00665F1D" w:rsidP="005F2F0A">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26"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bottom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9349B5" w:rsidRPr="00025B12" w:rsidTr="00785B82">
        <w:trPr>
          <w:trHeight w:val="360"/>
        </w:trPr>
        <w:tc>
          <w:tcPr>
            <w:tcW w:w="1452" w:type="dxa"/>
            <w:tcBorders>
              <w:top w:val="dotted" w:sz="4" w:space="0" w:color="auto"/>
              <w:bottom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9349B5" w:rsidRPr="00025B12" w:rsidRDefault="00665F1D" w:rsidP="005F2F0A">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bottom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9349B5" w:rsidRPr="00025B12" w:rsidTr="00785B82">
        <w:trPr>
          <w:trHeight w:val="360"/>
        </w:trPr>
        <w:tc>
          <w:tcPr>
            <w:tcW w:w="1452" w:type="dxa"/>
            <w:tcBorders>
              <w:top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9349B5" w:rsidRPr="00025B12" w:rsidRDefault="00665F1D" w:rsidP="005F2F0A">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03" w:type="dxa"/>
            <w:tcBorders>
              <w:top w:val="dotted" w:sz="4" w:space="0" w:color="auto"/>
              <w:left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4C030B" w:rsidRPr="00025B12" w:rsidTr="00785B82">
        <w:trPr>
          <w:trHeight w:val="274"/>
        </w:trPr>
        <w:tc>
          <w:tcPr>
            <w:tcW w:w="7539" w:type="dxa"/>
            <w:gridSpan w:val="4"/>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749" w:type="dxa"/>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785B82">
        <w:trPr>
          <w:trHeight w:val="1319"/>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C030B" w:rsidRPr="00025B12" w:rsidRDefault="004C030B" w:rsidP="00A9209D">
            <w:pPr>
              <w:jc w:val="both"/>
              <w:rPr>
                <w:rFonts w:ascii="Verdana" w:hAnsi="Verdana"/>
                <w:sz w:val="18"/>
                <w:szCs w:val="18"/>
              </w:rPr>
            </w:pPr>
            <w:r w:rsidRPr="00025B12">
              <w:rPr>
                <w:rFonts w:ascii="Verdana" w:hAnsi="Verdana"/>
                <w:sz w:val="18"/>
                <w:szCs w:val="18"/>
              </w:rPr>
              <w:t>Indikátor navazuje na indikátor III.5.1 a identifikuje typy překážek, které brání v účasti na vzdělávání té skupině lidí, kteří se nevzdělávají, přestože by chtěli. Vzhledem k tomu, že se jedná o tuto skupinu, je indikátor co možná nejrealističtějším odrazem bariér – zkoumá totiž překážky jen u těch, kteří měli zájem o vzdělávání, ale z nejrůznějších příčin se jim nepodařilo tento zájem realizovat. Lidé, kteří o vzdělávání nemají zájem a u kterých jsou hlavním důvodem neúčasti jejich negativní postoje (skupina 1 v indikátoru III.5.1) je z indikátoru III.5.2 vyloučena. Je však zároveň třeba vnímat sílu překážek v kontextu indikátoru III.5.1 a toho, jak velká je skupina lidí, kterým tyto překážky opravdu brání v účasti na dalším vzdělávání.</w:t>
            </w:r>
          </w:p>
        </w:tc>
      </w:tr>
      <w:tr w:rsidR="004C030B" w:rsidRPr="00025B12" w:rsidTr="00785B82">
        <w:trPr>
          <w:trHeight w:val="992"/>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C030B" w:rsidRPr="00025B12" w:rsidRDefault="004C030B" w:rsidP="00A9209D">
            <w:pPr>
              <w:jc w:val="both"/>
              <w:rPr>
                <w:rFonts w:ascii="Verdana" w:hAnsi="Verdana"/>
                <w:sz w:val="18"/>
                <w:szCs w:val="18"/>
              </w:rPr>
            </w:pPr>
            <w:r w:rsidRPr="00025B12">
              <w:rPr>
                <w:rFonts w:ascii="Verdana" w:hAnsi="Verdana"/>
                <w:sz w:val="18"/>
                <w:szCs w:val="18"/>
              </w:rPr>
              <w:t>Sledovány jsou následující typy překážek:</w:t>
            </w:r>
          </w:p>
          <w:p w:rsidR="004C030B" w:rsidRPr="00025B12" w:rsidRDefault="004C030B" w:rsidP="005E2CC2">
            <w:pPr>
              <w:numPr>
                <w:ilvl w:val="0"/>
                <w:numId w:val="16"/>
              </w:numPr>
              <w:spacing w:after="0"/>
              <w:ind w:left="714" w:hanging="357"/>
              <w:jc w:val="both"/>
              <w:rPr>
                <w:rFonts w:ascii="Verdana" w:hAnsi="Verdana"/>
                <w:sz w:val="18"/>
                <w:szCs w:val="18"/>
              </w:rPr>
            </w:pPr>
            <w:r w:rsidRPr="00025B12">
              <w:rPr>
                <w:rFonts w:ascii="Verdana" w:hAnsi="Verdana"/>
                <w:sz w:val="18"/>
                <w:szCs w:val="18"/>
              </w:rPr>
              <w:t>Chybějící předpoklady</w:t>
            </w:r>
          </w:p>
          <w:p w:rsidR="004C030B" w:rsidRPr="00025B12" w:rsidRDefault="004C030B" w:rsidP="005E2CC2">
            <w:pPr>
              <w:numPr>
                <w:ilvl w:val="0"/>
                <w:numId w:val="16"/>
              </w:numPr>
              <w:spacing w:after="0"/>
              <w:ind w:left="714" w:hanging="357"/>
              <w:jc w:val="both"/>
              <w:rPr>
                <w:rFonts w:ascii="Verdana" w:hAnsi="Verdana"/>
                <w:sz w:val="18"/>
                <w:szCs w:val="18"/>
              </w:rPr>
            </w:pPr>
            <w:r w:rsidRPr="00025B12">
              <w:rPr>
                <w:rFonts w:ascii="Verdana" w:hAnsi="Verdana"/>
                <w:sz w:val="18"/>
                <w:szCs w:val="18"/>
              </w:rPr>
              <w:t>Finanční náročnost</w:t>
            </w:r>
          </w:p>
          <w:p w:rsidR="004C030B" w:rsidRPr="00025B12" w:rsidRDefault="004C030B" w:rsidP="005E2CC2">
            <w:pPr>
              <w:numPr>
                <w:ilvl w:val="0"/>
                <w:numId w:val="16"/>
              </w:numPr>
              <w:spacing w:after="0"/>
              <w:ind w:left="714" w:hanging="357"/>
              <w:jc w:val="both"/>
              <w:rPr>
                <w:rFonts w:ascii="Verdana" w:hAnsi="Verdana"/>
                <w:sz w:val="18"/>
                <w:szCs w:val="18"/>
              </w:rPr>
            </w:pPr>
            <w:r w:rsidRPr="00025B12">
              <w:rPr>
                <w:rFonts w:ascii="Verdana" w:hAnsi="Verdana"/>
                <w:sz w:val="18"/>
                <w:szCs w:val="18"/>
              </w:rPr>
              <w:t>Nedostatek podpory zaměstnavatele</w:t>
            </w:r>
          </w:p>
          <w:p w:rsidR="004C030B" w:rsidRPr="00025B12" w:rsidRDefault="004C030B" w:rsidP="005E2CC2">
            <w:pPr>
              <w:numPr>
                <w:ilvl w:val="0"/>
                <w:numId w:val="16"/>
              </w:numPr>
              <w:spacing w:after="0"/>
              <w:ind w:left="714" w:hanging="357"/>
              <w:jc w:val="both"/>
              <w:rPr>
                <w:rFonts w:ascii="Verdana" w:hAnsi="Verdana"/>
                <w:sz w:val="18"/>
                <w:szCs w:val="18"/>
              </w:rPr>
            </w:pPr>
            <w:r w:rsidRPr="00025B12">
              <w:rPr>
                <w:rFonts w:ascii="Verdana" w:hAnsi="Verdana"/>
                <w:sz w:val="18"/>
                <w:szCs w:val="18"/>
              </w:rPr>
              <w:t>Časový konflikt s pracovními povinnostmi</w:t>
            </w:r>
          </w:p>
          <w:p w:rsidR="004C030B" w:rsidRPr="00025B12" w:rsidRDefault="004C030B" w:rsidP="005E2CC2">
            <w:pPr>
              <w:numPr>
                <w:ilvl w:val="0"/>
                <w:numId w:val="16"/>
              </w:numPr>
              <w:spacing w:after="0"/>
              <w:ind w:left="714" w:hanging="357"/>
              <w:jc w:val="both"/>
              <w:rPr>
                <w:rFonts w:ascii="Verdana" w:hAnsi="Verdana"/>
                <w:sz w:val="18"/>
                <w:szCs w:val="18"/>
              </w:rPr>
            </w:pPr>
            <w:r w:rsidRPr="00025B12">
              <w:rPr>
                <w:rFonts w:ascii="Verdana" w:hAnsi="Verdana"/>
                <w:sz w:val="18"/>
                <w:szCs w:val="18"/>
              </w:rPr>
              <w:t>Nedostatek času z důvodu péče o rodinu</w:t>
            </w:r>
          </w:p>
          <w:p w:rsidR="004C030B" w:rsidRPr="00025B12" w:rsidRDefault="004C030B" w:rsidP="005E2CC2">
            <w:pPr>
              <w:numPr>
                <w:ilvl w:val="0"/>
                <w:numId w:val="16"/>
              </w:numPr>
              <w:spacing w:after="0"/>
              <w:ind w:left="714" w:hanging="357"/>
              <w:jc w:val="both"/>
              <w:rPr>
                <w:rFonts w:ascii="Verdana" w:hAnsi="Verdana"/>
                <w:sz w:val="18"/>
                <w:szCs w:val="18"/>
              </w:rPr>
            </w:pPr>
            <w:r w:rsidRPr="00025B12">
              <w:rPr>
                <w:rFonts w:ascii="Verdana" w:hAnsi="Verdana"/>
                <w:sz w:val="18"/>
                <w:szCs w:val="18"/>
              </w:rPr>
              <w:t>Žádné vzdělávání v dostupné vzdálenosti</w:t>
            </w:r>
          </w:p>
          <w:p w:rsidR="004C030B" w:rsidRPr="00025B12" w:rsidRDefault="004C030B" w:rsidP="005E2CC2">
            <w:pPr>
              <w:numPr>
                <w:ilvl w:val="0"/>
                <w:numId w:val="16"/>
              </w:numPr>
              <w:spacing w:after="0"/>
              <w:ind w:left="714" w:hanging="357"/>
              <w:jc w:val="both"/>
              <w:rPr>
                <w:rFonts w:ascii="Verdana" w:hAnsi="Verdana"/>
                <w:sz w:val="18"/>
                <w:szCs w:val="18"/>
              </w:rPr>
            </w:pPr>
            <w:r w:rsidRPr="00025B12">
              <w:rPr>
                <w:rFonts w:ascii="Verdana" w:hAnsi="Verdana"/>
                <w:sz w:val="18"/>
                <w:szCs w:val="18"/>
              </w:rPr>
              <w:t>Nemohl se smířit s myšlenkou návratu do školy</w:t>
            </w:r>
          </w:p>
          <w:p w:rsidR="004C030B" w:rsidRPr="00025B12" w:rsidRDefault="004C030B" w:rsidP="005E2CC2">
            <w:pPr>
              <w:numPr>
                <w:ilvl w:val="0"/>
                <w:numId w:val="16"/>
              </w:numPr>
              <w:jc w:val="both"/>
              <w:rPr>
                <w:rFonts w:ascii="Verdana" w:hAnsi="Verdana"/>
                <w:sz w:val="18"/>
                <w:szCs w:val="18"/>
              </w:rPr>
            </w:pPr>
            <w:r w:rsidRPr="00025B12">
              <w:rPr>
                <w:rFonts w:ascii="Verdana" w:hAnsi="Verdana"/>
                <w:sz w:val="18"/>
                <w:szCs w:val="18"/>
              </w:rPr>
              <w:t>Zdraví nebo věk</w:t>
            </w:r>
          </w:p>
          <w:p w:rsidR="004C030B" w:rsidRPr="00025B12" w:rsidRDefault="004C030B" w:rsidP="00A9209D">
            <w:pPr>
              <w:jc w:val="both"/>
              <w:rPr>
                <w:rFonts w:ascii="Verdana" w:hAnsi="Verdana"/>
                <w:sz w:val="18"/>
                <w:szCs w:val="18"/>
              </w:rPr>
            </w:pPr>
            <w:r w:rsidRPr="00025B12">
              <w:rPr>
                <w:rFonts w:ascii="Verdana" w:hAnsi="Verdana"/>
                <w:sz w:val="18"/>
                <w:szCs w:val="18"/>
              </w:rPr>
              <w:t>Respondenti mohli uvést více možností, indikátor uvádí podíl všech, kdo danou možnost zvolili. Alternativní přístup by umožnil uvést podíl lidí, kteří uvedli danou překážku jako nejdůležitější (i tato alternativa indikátoru je možná).</w:t>
            </w:r>
          </w:p>
        </w:tc>
      </w:tr>
      <w:tr w:rsidR="004C030B" w:rsidRPr="00025B12" w:rsidTr="00785B82">
        <w:trPr>
          <w:trHeight w:val="1053"/>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C030B" w:rsidRPr="00025B12" w:rsidRDefault="004C030B" w:rsidP="00A9209D">
            <w:pPr>
              <w:jc w:val="both"/>
              <w:rPr>
                <w:rFonts w:ascii="Verdana" w:hAnsi="Verdana"/>
                <w:sz w:val="18"/>
                <w:szCs w:val="18"/>
              </w:rPr>
            </w:pPr>
            <w:r w:rsidRPr="00025B12">
              <w:rPr>
                <w:rFonts w:ascii="Verdana" w:hAnsi="Verdana"/>
                <w:sz w:val="18"/>
                <w:szCs w:val="18"/>
              </w:rPr>
              <w:t>Pro mezinárodní srovnání jsou údaje přebírány z webových stránek Eurostatu. Regionální údaje z šetření nejsou publikovány, byl by potřebný výpočet z mikrodat.</w:t>
            </w:r>
          </w:p>
        </w:tc>
      </w:tr>
      <w:tr w:rsidR="004C030B" w:rsidRPr="00025B12" w:rsidTr="00785B82">
        <w:trPr>
          <w:trHeight w:val="837"/>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C030B" w:rsidRPr="00025B12" w:rsidRDefault="004C030B" w:rsidP="00A9209D">
            <w:pPr>
              <w:jc w:val="both"/>
              <w:rPr>
                <w:rFonts w:ascii="Verdana" w:hAnsi="Verdana"/>
                <w:sz w:val="18"/>
                <w:szCs w:val="18"/>
              </w:rPr>
            </w:pPr>
            <w:r w:rsidRPr="00025B12">
              <w:rPr>
                <w:rFonts w:ascii="Verdana" w:hAnsi="Verdana"/>
                <w:sz w:val="18"/>
                <w:szCs w:val="18"/>
              </w:rPr>
              <w:t>Mikrodata nebyla v době formulace indikátoru k</w:t>
            </w:r>
            <w:r w:rsidR="005D28B5" w:rsidRPr="00025B12">
              <w:rPr>
                <w:rFonts w:ascii="Verdana" w:hAnsi="Verdana"/>
                <w:sz w:val="18"/>
                <w:szCs w:val="18"/>
              </w:rPr>
              <w:t> </w:t>
            </w:r>
            <w:r w:rsidRPr="00025B12">
              <w:rPr>
                <w:rFonts w:ascii="Verdana" w:hAnsi="Verdana"/>
                <w:sz w:val="18"/>
                <w:szCs w:val="18"/>
              </w:rPr>
              <w:t>dispozici</w:t>
            </w:r>
            <w:r w:rsidR="005D28B5" w:rsidRPr="00025B12">
              <w:rPr>
                <w:rFonts w:ascii="Verdana" w:hAnsi="Verdana"/>
                <w:sz w:val="18"/>
                <w:szCs w:val="18"/>
              </w:rPr>
              <w:t xml:space="preserve"> </w:t>
            </w:r>
            <w:r w:rsidR="007C3E03" w:rsidRPr="00025B12">
              <w:rPr>
                <w:rFonts w:ascii="Verdana" w:hAnsi="Verdana"/>
                <w:sz w:val="18"/>
                <w:szCs w:val="18"/>
              </w:rPr>
              <w:t>zpracovateli</w:t>
            </w:r>
            <w:r w:rsidRPr="00025B12">
              <w:rPr>
                <w:rFonts w:ascii="Verdana" w:hAnsi="Verdana"/>
                <w:sz w:val="18"/>
                <w:szCs w:val="18"/>
              </w:rPr>
              <w:t>, spolehlivost regionálních výsledků by bylo třeba ověřit.</w:t>
            </w:r>
          </w:p>
        </w:tc>
      </w:tr>
    </w:tbl>
    <w:p w:rsidR="004C030B" w:rsidRPr="00025B12" w:rsidRDefault="004C030B" w:rsidP="004C030B"/>
    <w:p w:rsidR="004C030B" w:rsidRPr="00025B12" w:rsidRDefault="004C030B" w:rsidP="004C030B">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4C030B" w:rsidRPr="00025B12" w:rsidTr="00785B82">
        <w:trPr>
          <w:trHeight w:val="425"/>
        </w:trPr>
        <w:tc>
          <w:tcPr>
            <w:tcW w:w="1417" w:type="dxa"/>
            <w:tcBorders>
              <w:bottom w:val="single" w:sz="4" w:space="0" w:color="auto"/>
              <w:right w:val="single" w:sz="4" w:space="0" w:color="auto"/>
            </w:tcBorders>
            <w:shd w:val="clear" w:color="auto" w:fill="663399"/>
            <w:vAlign w:val="center"/>
          </w:tcPr>
          <w:p w:rsidR="004C030B" w:rsidRPr="00025B12" w:rsidRDefault="004C030B" w:rsidP="00A9209D">
            <w:pPr>
              <w:pStyle w:val="Kd"/>
              <w:rPr>
                <w:sz w:val="18"/>
                <w:szCs w:val="18"/>
              </w:rPr>
            </w:pPr>
            <w:r w:rsidRPr="00025B12">
              <w:rPr>
                <w:sz w:val="18"/>
                <w:szCs w:val="18"/>
              </w:rPr>
              <w:br w:type="page"/>
            </w:r>
            <w:r w:rsidRPr="00025B12">
              <w:rPr>
                <w:sz w:val="18"/>
                <w:szCs w:val="18"/>
              </w:rPr>
              <w:br w:type="page"/>
            </w:r>
            <w:bookmarkStart w:id="109" w:name="III53"/>
            <w:r w:rsidRPr="00025B12">
              <w:rPr>
                <w:sz w:val="18"/>
                <w:szCs w:val="18"/>
              </w:rPr>
              <w:t>III.5.</w:t>
            </w:r>
            <w:bookmarkEnd w:id="109"/>
            <w:r w:rsidR="00741F81" w:rsidRPr="00025B12">
              <w:rPr>
                <w:sz w:val="18"/>
                <w:szCs w:val="18"/>
              </w:rPr>
              <w:t>d1</w:t>
            </w:r>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4C030B" w:rsidRPr="00025B12" w:rsidRDefault="004C030B"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Podíl podniků, které vůbec nevzdělávají</w:t>
            </w:r>
          </w:p>
        </w:tc>
      </w:tr>
      <w:tr w:rsidR="004C030B" w:rsidRPr="00025B12" w:rsidTr="00785B82">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4C030B" w:rsidRPr="00025B12" w:rsidRDefault="00625F3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71" w:type="dxa"/>
            <w:gridSpan w:val="4"/>
            <w:vMerge/>
            <w:tcBorders>
              <w:left w:val="single" w:sz="4" w:space="0" w:color="auto"/>
              <w:bottom w:val="single" w:sz="4" w:space="0" w:color="auto"/>
              <w:right w:val="single"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296FE3">
        <w:trPr>
          <w:trHeight w:val="360"/>
        </w:trPr>
        <w:tc>
          <w:tcPr>
            <w:tcW w:w="1417" w:type="dxa"/>
            <w:tcBorders>
              <w:top w:val="single"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4C030B" w:rsidRPr="00025B12" w:rsidRDefault="004C030B"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4C030B" w:rsidRPr="00025B12" w:rsidTr="00785B82">
        <w:trPr>
          <w:trHeight w:val="360"/>
        </w:trPr>
        <w:tc>
          <w:tcPr>
            <w:tcW w:w="1417" w:type="dxa"/>
            <w:tcBorders>
              <w:top w:val="dotted"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4C030B" w:rsidRPr="00025B12" w:rsidRDefault="00665F1D" w:rsidP="00A9209D">
            <w:pPr>
              <w:spacing w:after="0" w:line="240" w:lineRule="auto"/>
              <w:jc w:val="center"/>
              <w:rPr>
                <w:rFonts w:ascii="Verdana" w:eastAsiaTheme="minorHAnsi" w:hAnsi="Verdana" w:cstheme="minorBidi"/>
                <w:sz w:val="18"/>
                <w:szCs w:val="18"/>
              </w:rPr>
            </w:pPr>
            <w:hyperlink w:anchor="CVTS" w:history="1">
              <w:r w:rsidR="004C030B"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785B82" w:rsidRPr="00025B12" w:rsidTr="00785B82">
        <w:trPr>
          <w:trHeight w:val="360"/>
        </w:trPr>
        <w:tc>
          <w:tcPr>
            <w:tcW w:w="1417" w:type="dxa"/>
            <w:tcBorders>
              <w:top w:val="dotted" w:sz="4" w:space="0" w:color="auto"/>
              <w:bottom w:val="dotted" w:sz="4" w:space="0" w:color="auto"/>
              <w:right w:val="dotted" w:sz="4" w:space="0" w:color="auto"/>
            </w:tcBorders>
          </w:tcPr>
          <w:p w:rsidR="00785B82" w:rsidRPr="00025B12" w:rsidRDefault="00785B82"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785B82" w:rsidRPr="00025B12" w:rsidRDefault="00665F1D" w:rsidP="005F2F0A">
            <w:pPr>
              <w:spacing w:after="0" w:line="240" w:lineRule="auto"/>
              <w:jc w:val="center"/>
              <w:rPr>
                <w:rFonts w:ascii="Verdana" w:eastAsiaTheme="minorHAnsi" w:hAnsi="Verdana" w:cstheme="minorBidi"/>
                <w:sz w:val="18"/>
                <w:szCs w:val="18"/>
              </w:rPr>
            </w:pPr>
            <w:hyperlink w:anchor="CVTS" w:history="1">
              <w:r w:rsidR="00785B82"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4C030B" w:rsidRPr="00025B12" w:rsidTr="00785B82">
        <w:trPr>
          <w:trHeight w:val="360"/>
        </w:trPr>
        <w:tc>
          <w:tcPr>
            <w:tcW w:w="1417" w:type="dxa"/>
            <w:tcBorders>
              <w:top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20"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4"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C030B" w:rsidRPr="00025B12" w:rsidTr="00785B82">
        <w:trPr>
          <w:trHeight w:val="274"/>
        </w:trPr>
        <w:tc>
          <w:tcPr>
            <w:tcW w:w="7219" w:type="dxa"/>
            <w:gridSpan w:val="4"/>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2069" w:type="dxa"/>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785B82">
        <w:trPr>
          <w:trHeight w:val="1319"/>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C030B" w:rsidRPr="00025B12" w:rsidRDefault="000A3C2C" w:rsidP="000A3C2C">
            <w:pPr>
              <w:jc w:val="both"/>
              <w:rPr>
                <w:rFonts w:ascii="Verdana" w:hAnsi="Verdana"/>
                <w:sz w:val="18"/>
                <w:szCs w:val="18"/>
              </w:rPr>
            </w:pPr>
            <w:r w:rsidRPr="00025B12">
              <w:rPr>
                <w:rFonts w:ascii="Verdana" w:hAnsi="Verdana"/>
                <w:sz w:val="18"/>
                <w:szCs w:val="18"/>
              </w:rPr>
              <w:t>Indikátory III.5.d1</w:t>
            </w:r>
            <w:r w:rsidR="004C030B" w:rsidRPr="00025B12">
              <w:rPr>
                <w:rFonts w:ascii="Verdana" w:hAnsi="Verdana"/>
                <w:sz w:val="18"/>
                <w:szCs w:val="18"/>
              </w:rPr>
              <w:t xml:space="preserve"> a III.5.</w:t>
            </w:r>
            <w:r w:rsidRPr="00025B12">
              <w:rPr>
                <w:rFonts w:ascii="Verdana" w:hAnsi="Verdana"/>
                <w:sz w:val="18"/>
                <w:szCs w:val="18"/>
              </w:rPr>
              <w:t>d2</w:t>
            </w:r>
            <w:r w:rsidR="004C030B" w:rsidRPr="00025B12">
              <w:rPr>
                <w:rFonts w:ascii="Verdana" w:hAnsi="Verdana"/>
                <w:sz w:val="18"/>
                <w:szCs w:val="18"/>
              </w:rPr>
              <w:t xml:space="preserve"> jsou zrcadlovým obrazem předchozích dvou indikátorů. Zatímco předchozí dva indikátory se vztahovaly k jednotlivcům v dospělé populaci, tyto dva indikátory se věnují situaci podniků a podnikové</w:t>
            </w:r>
            <w:r w:rsidRPr="00025B12">
              <w:rPr>
                <w:rFonts w:ascii="Verdana" w:hAnsi="Verdana"/>
                <w:sz w:val="18"/>
                <w:szCs w:val="18"/>
              </w:rPr>
              <w:t>ho vzdělávání. Indikátor III.5.d1</w:t>
            </w:r>
            <w:r w:rsidR="004C030B" w:rsidRPr="00025B12">
              <w:rPr>
                <w:rFonts w:ascii="Verdana" w:hAnsi="Verdana"/>
                <w:sz w:val="18"/>
                <w:szCs w:val="18"/>
              </w:rPr>
              <w:t xml:space="preserve"> informuje o podílu podniků, které neposkytly svým zaměstnancům žádné vzdělávání. </w:t>
            </w:r>
          </w:p>
        </w:tc>
      </w:tr>
      <w:tr w:rsidR="004C030B" w:rsidRPr="00025B12" w:rsidTr="00785B82">
        <w:trPr>
          <w:trHeight w:val="992"/>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C030B" w:rsidRPr="00025B12" w:rsidRDefault="004C030B" w:rsidP="00A9209D">
            <w:pPr>
              <w:jc w:val="both"/>
              <w:rPr>
                <w:rFonts w:ascii="Verdana" w:hAnsi="Verdana"/>
                <w:sz w:val="18"/>
                <w:szCs w:val="18"/>
              </w:rPr>
            </w:pPr>
            <w:r w:rsidRPr="00025B12">
              <w:rPr>
                <w:rFonts w:ascii="Verdana" w:hAnsi="Verdana"/>
                <w:sz w:val="18"/>
                <w:szCs w:val="18"/>
              </w:rPr>
              <w:t xml:space="preserve">Indikátor ukazuje podíl podniků, které </w:t>
            </w:r>
            <w:r w:rsidR="00062AE5" w:rsidRPr="00025B12">
              <w:rPr>
                <w:rFonts w:ascii="Verdana" w:hAnsi="Verdana"/>
                <w:sz w:val="18"/>
                <w:szCs w:val="18"/>
              </w:rPr>
              <w:t>v referenčním roce neposkytovaly</w:t>
            </w:r>
            <w:r w:rsidRPr="00025B12">
              <w:rPr>
                <w:rFonts w:ascii="Verdana" w:hAnsi="Verdana"/>
                <w:sz w:val="18"/>
                <w:szCs w:val="18"/>
              </w:rPr>
              <w:t xml:space="preserve"> svým zaměstnancům žádné</w:t>
            </w:r>
            <w:r w:rsidR="00062AE5" w:rsidRPr="00025B12">
              <w:rPr>
                <w:rFonts w:ascii="Verdana" w:hAnsi="Verdana"/>
                <w:sz w:val="18"/>
                <w:szCs w:val="18"/>
              </w:rPr>
              <w:t xml:space="preserve"> vzdělávání – ani kurzy ani ostatní</w:t>
            </w:r>
            <w:r w:rsidRPr="00025B12">
              <w:rPr>
                <w:rFonts w:ascii="Verdana" w:hAnsi="Verdana"/>
                <w:sz w:val="18"/>
                <w:szCs w:val="18"/>
              </w:rPr>
              <w:t xml:space="preserve"> formy vzdělávání, na všech podnicích.</w:t>
            </w:r>
          </w:p>
        </w:tc>
      </w:tr>
      <w:tr w:rsidR="004C030B" w:rsidRPr="00025B12" w:rsidTr="00785B82">
        <w:trPr>
          <w:trHeight w:val="1053"/>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C030B" w:rsidRPr="00025B12" w:rsidRDefault="004C030B" w:rsidP="00A9209D">
            <w:pPr>
              <w:jc w:val="both"/>
              <w:rPr>
                <w:rFonts w:ascii="Verdana" w:hAnsi="Verdana"/>
                <w:sz w:val="18"/>
                <w:szCs w:val="18"/>
              </w:rPr>
            </w:pPr>
            <w:r w:rsidRPr="00025B12">
              <w:rPr>
                <w:rFonts w:ascii="Verdana" w:hAnsi="Verdana"/>
                <w:sz w:val="18"/>
                <w:szCs w:val="18"/>
              </w:rPr>
              <w:t>Pro mezinárodní srovnání je indikátor dopočten z údajů publikovaných na webových stránkách Eurostatu. Regionální údaje nejsou k dispozici.</w:t>
            </w:r>
          </w:p>
        </w:tc>
      </w:tr>
      <w:tr w:rsidR="004C030B" w:rsidRPr="00025B12" w:rsidTr="00785B82">
        <w:trPr>
          <w:trHeight w:val="837"/>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C030B" w:rsidRPr="00025B12" w:rsidRDefault="004C030B" w:rsidP="00A9209D">
            <w:pPr>
              <w:jc w:val="both"/>
              <w:rPr>
                <w:rFonts w:ascii="Verdana" w:hAnsi="Verdana"/>
                <w:sz w:val="18"/>
                <w:szCs w:val="18"/>
              </w:rPr>
            </w:pPr>
            <w:r w:rsidRPr="00025B12">
              <w:rPr>
                <w:rFonts w:ascii="Verdana" w:hAnsi="Verdana"/>
                <w:sz w:val="18"/>
                <w:szCs w:val="18"/>
              </w:rPr>
              <w:t>-</w:t>
            </w:r>
          </w:p>
        </w:tc>
      </w:tr>
    </w:tbl>
    <w:p w:rsidR="004C030B" w:rsidRPr="00025B12" w:rsidRDefault="004C030B" w:rsidP="004C030B"/>
    <w:p w:rsidR="004C030B" w:rsidRPr="00025B12" w:rsidRDefault="004C030B" w:rsidP="004C030B">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4C030B" w:rsidRPr="00025B12" w:rsidTr="00785B82">
        <w:trPr>
          <w:trHeight w:val="425"/>
        </w:trPr>
        <w:tc>
          <w:tcPr>
            <w:tcW w:w="1417" w:type="dxa"/>
            <w:tcBorders>
              <w:bottom w:val="single" w:sz="4" w:space="0" w:color="auto"/>
              <w:right w:val="single" w:sz="4" w:space="0" w:color="auto"/>
            </w:tcBorders>
            <w:shd w:val="clear" w:color="auto" w:fill="663399"/>
            <w:vAlign w:val="center"/>
          </w:tcPr>
          <w:p w:rsidR="004C030B" w:rsidRPr="00025B12" w:rsidRDefault="004C030B" w:rsidP="00A9209D">
            <w:pPr>
              <w:pStyle w:val="Kd"/>
              <w:rPr>
                <w:sz w:val="18"/>
                <w:szCs w:val="18"/>
              </w:rPr>
            </w:pPr>
            <w:r w:rsidRPr="00025B12">
              <w:rPr>
                <w:sz w:val="18"/>
                <w:szCs w:val="18"/>
              </w:rPr>
              <w:br w:type="page"/>
            </w:r>
            <w:r w:rsidRPr="00025B12">
              <w:rPr>
                <w:sz w:val="18"/>
                <w:szCs w:val="18"/>
              </w:rPr>
              <w:br w:type="page"/>
            </w:r>
            <w:bookmarkStart w:id="110" w:name="III54"/>
            <w:r w:rsidRPr="00025B12">
              <w:rPr>
                <w:sz w:val="18"/>
                <w:szCs w:val="18"/>
              </w:rPr>
              <w:t>III.5.</w:t>
            </w:r>
            <w:bookmarkEnd w:id="110"/>
            <w:r w:rsidR="00741F81" w:rsidRPr="00025B12">
              <w:rPr>
                <w:sz w:val="18"/>
                <w:szCs w:val="18"/>
              </w:rPr>
              <w:t>d2</w:t>
            </w:r>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4C030B" w:rsidRPr="00025B12" w:rsidRDefault="004C030B" w:rsidP="004E69C7">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 xml:space="preserve">Důvody neposkytování vzdělávání </w:t>
            </w:r>
            <w:r w:rsidR="004E69C7" w:rsidRPr="00025B12">
              <w:rPr>
                <w:rFonts w:ascii="Verdana" w:eastAsiaTheme="minorHAnsi" w:hAnsi="Verdana" w:cstheme="minorBidi"/>
                <w:b/>
                <w:color w:val="FFFFFF" w:themeColor="background1"/>
              </w:rPr>
              <w:t>v podnicích</w:t>
            </w:r>
          </w:p>
        </w:tc>
      </w:tr>
      <w:tr w:rsidR="004C030B" w:rsidRPr="00025B12" w:rsidTr="00785B82">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4C030B" w:rsidRPr="00025B12" w:rsidRDefault="00625F3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71" w:type="dxa"/>
            <w:gridSpan w:val="4"/>
            <w:vMerge/>
            <w:tcBorders>
              <w:left w:val="single" w:sz="4" w:space="0" w:color="auto"/>
              <w:bottom w:val="single" w:sz="4" w:space="0" w:color="auto"/>
              <w:right w:val="single"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296FE3">
        <w:trPr>
          <w:trHeight w:val="360"/>
        </w:trPr>
        <w:tc>
          <w:tcPr>
            <w:tcW w:w="1417" w:type="dxa"/>
            <w:tcBorders>
              <w:top w:val="single" w:sz="4" w:space="0" w:color="auto"/>
              <w:bottom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4C030B" w:rsidRPr="00025B12" w:rsidRDefault="004C030B"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785B82" w:rsidRPr="00025B12" w:rsidTr="00785B82">
        <w:trPr>
          <w:trHeight w:val="360"/>
        </w:trPr>
        <w:tc>
          <w:tcPr>
            <w:tcW w:w="1417" w:type="dxa"/>
            <w:tcBorders>
              <w:top w:val="dotted" w:sz="4" w:space="0" w:color="auto"/>
              <w:bottom w:val="dotted" w:sz="4" w:space="0" w:color="auto"/>
              <w:right w:val="dotted" w:sz="4" w:space="0" w:color="auto"/>
            </w:tcBorders>
          </w:tcPr>
          <w:p w:rsidR="00785B82" w:rsidRPr="00025B12" w:rsidRDefault="00785B82"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785B82" w:rsidRPr="00025B12" w:rsidRDefault="00665F1D" w:rsidP="005F2F0A">
            <w:pPr>
              <w:spacing w:after="0" w:line="240" w:lineRule="auto"/>
              <w:jc w:val="center"/>
              <w:rPr>
                <w:rFonts w:ascii="Verdana" w:eastAsiaTheme="minorHAnsi" w:hAnsi="Verdana" w:cstheme="minorBidi"/>
                <w:sz w:val="18"/>
                <w:szCs w:val="18"/>
              </w:rPr>
            </w:pPr>
            <w:hyperlink w:anchor="CVTS" w:history="1">
              <w:r w:rsidR="00785B82"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785B82" w:rsidRPr="00025B12" w:rsidTr="00785B82">
        <w:trPr>
          <w:trHeight w:val="360"/>
        </w:trPr>
        <w:tc>
          <w:tcPr>
            <w:tcW w:w="1417" w:type="dxa"/>
            <w:tcBorders>
              <w:top w:val="dotted" w:sz="4" w:space="0" w:color="auto"/>
              <w:bottom w:val="dotted" w:sz="4" w:space="0" w:color="auto"/>
              <w:right w:val="dotted" w:sz="4" w:space="0" w:color="auto"/>
            </w:tcBorders>
          </w:tcPr>
          <w:p w:rsidR="00785B82" w:rsidRPr="00025B12" w:rsidRDefault="00785B82"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785B82" w:rsidRPr="00025B12" w:rsidRDefault="00665F1D" w:rsidP="005F2F0A">
            <w:pPr>
              <w:spacing w:after="0" w:line="240" w:lineRule="auto"/>
              <w:jc w:val="center"/>
              <w:rPr>
                <w:rFonts w:ascii="Verdana" w:eastAsiaTheme="minorHAnsi" w:hAnsi="Verdana" w:cstheme="minorBidi"/>
                <w:sz w:val="18"/>
                <w:szCs w:val="18"/>
              </w:rPr>
            </w:pPr>
            <w:hyperlink w:anchor="CVTS" w:history="1">
              <w:r w:rsidR="00785B82"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785B82" w:rsidRPr="00025B12" w:rsidRDefault="00785B82"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4C030B" w:rsidRPr="00025B12" w:rsidTr="00785B82">
        <w:trPr>
          <w:trHeight w:val="360"/>
        </w:trPr>
        <w:tc>
          <w:tcPr>
            <w:tcW w:w="1417" w:type="dxa"/>
            <w:tcBorders>
              <w:top w:val="dotted" w:sz="4" w:space="0" w:color="auto"/>
              <w:right w:val="dotted" w:sz="4" w:space="0" w:color="auto"/>
            </w:tcBorders>
          </w:tcPr>
          <w:p w:rsidR="004C030B" w:rsidRPr="00025B12" w:rsidRDefault="004C030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20"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4" w:type="dxa"/>
            <w:tcBorders>
              <w:top w:val="dotted" w:sz="4" w:space="0" w:color="auto"/>
              <w:left w:val="dotted" w:sz="4" w:space="0" w:color="auto"/>
              <w:righ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4C030B" w:rsidRPr="00025B12" w:rsidRDefault="004C030B"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4C030B" w:rsidRPr="00025B12" w:rsidTr="00785B82">
        <w:trPr>
          <w:trHeight w:val="274"/>
        </w:trPr>
        <w:tc>
          <w:tcPr>
            <w:tcW w:w="7219" w:type="dxa"/>
            <w:gridSpan w:val="4"/>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c>
          <w:tcPr>
            <w:tcW w:w="2069" w:type="dxa"/>
            <w:shd w:val="clear" w:color="auto" w:fill="663399"/>
          </w:tcPr>
          <w:p w:rsidR="004C030B" w:rsidRPr="00025B12" w:rsidRDefault="004C030B" w:rsidP="00A9209D">
            <w:pPr>
              <w:spacing w:after="0" w:line="240" w:lineRule="auto"/>
              <w:jc w:val="center"/>
              <w:rPr>
                <w:rFonts w:ascii="Verdana" w:eastAsiaTheme="minorHAnsi" w:hAnsi="Verdana" w:cstheme="minorBidi"/>
                <w:sz w:val="18"/>
                <w:szCs w:val="18"/>
              </w:rPr>
            </w:pPr>
          </w:p>
        </w:tc>
      </w:tr>
      <w:tr w:rsidR="004C030B" w:rsidRPr="00025B12" w:rsidTr="00785B82">
        <w:trPr>
          <w:trHeight w:val="1319"/>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4C030B" w:rsidRPr="00025B12" w:rsidRDefault="004C030B" w:rsidP="000A3C2C">
            <w:pPr>
              <w:jc w:val="both"/>
              <w:rPr>
                <w:rFonts w:ascii="Verdana" w:hAnsi="Verdana"/>
                <w:sz w:val="18"/>
                <w:szCs w:val="18"/>
              </w:rPr>
            </w:pPr>
            <w:r w:rsidRPr="00025B12">
              <w:rPr>
                <w:rFonts w:ascii="Verdana" w:hAnsi="Verdana"/>
                <w:sz w:val="18"/>
                <w:szCs w:val="18"/>
              </w:rPr>
              <w:t>Indikátory III.5.</w:t>
            </w:r>
            <w:r w:rsidR="000A3C2C" w:rsidRPr="00025B12">
              <w:rPr>
                <w:rFonts w:ascii="Verdana" w:hAnsi="Verdana"/>
                <w:sz w:val="18"/>
                <w:szCs w:val="18"/>
              </w:rPr>
              <w:t>d2 navazuje na indikátor III.5.d1</w:t>
            </w:r>
            <w:r w:rsidRPr="00025B12">
              <w:rPr>
                <w:rFonts w:ascii="Verdana" w:hAnsi="Verdana"/>
                <w:sz w:val="18"/>
                <w:szCs w:val="18"/>
              </w:rPr>
              <w:t xml:space="preserve"> a informuje o důvodech, proč podniky neposkytovaly svým zaměstnancům další vzdělávání. Informuje nás tak o bariérách, kterým podniky v oblasti dalšího vzdělávání čelí. </w:t>
            </w:r>
          </w:p>
        </w:tc>
      </w:tr>
      <w:tr w:rsidR="004C030B" w:rsidRPr="00025B12" w:rsidTr="00785B82">
        <w:trPr>
          <w:trHeight w:val="992"/>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4C030B" w:rsidRPr="00025B12" w:rsidRDefault="004C030B" w:rsidP="00A9209D">
            <w:pPr>
              <w:jc w:val="both"/>
              <w:rPr>
                <w:rFonts w:ascii="Verdana" w:hAnsi="Verdana"/>
                <w:sz w:val="18"/>
                <w:szCs w:val="18"/>
              </w:rPr>
            </w:pPr>
            <w:r w:rsidRPr="00025B12">
              <w:rPr>
                <w:rFonts w:ascii="Verdana" w:hAnsi="Verdana"/>
                <w:sz w:val="18"/>
                <w:szCs w:val="18"/>
              </w:rPr>
              <w:t>Mezi sledované důvody a překážky patří:</w:t>
            </w:r>
          </w:p>
          <w:p w:rsidR="004C030B" w:rsidRPr="00025B12" w:rsidRDefault="004C030B" w:rsidP="005E2CC2">
            <w:pPr>
              <w:numPr>
                <w:ilvl w:val="0"/>
                <w:numId w:val="17"/>
              </w:numPr>
              <w:autoSpaceDE w:val="0"/>
              <w:autoSpaceDN w:val="0"/>
              <w:adjustRightInd w:val="0"/>
              <w:spacing w:after="0" w:line="240" w:lineRule="auto"/>
              <w:rPr>
                <w:rFonts w:ascii="Verdana" w:hAnsi="Verdana"/>
                <w:sz w:val="18"/>
                <w:szCs w:val="18"/>
              </w:rPr>
            </w:pPr>
            <w:r w:rsidRPr="00025B12">
              <w:rPr>
                <w:rFonts w:ascii="Verdana" w:hAnsi="Verdana"/>
                <w:sz w:val="18"/>
                <w:szCs w:val="18"/>
              </w:rPr>
              <w:t>Stávající dovednosti a schopnosti zaměstnaných osob odpovídaly současným potřebám podniku</w:t>
            </w:r>
          </w:p>
          <w:p w:rsidR="004C030B" w:rsidRPr="00025B12" w:rsidRDefault="004C030B" w:rsidP="005E2CC2">
            <w:pPr>
              <w:numPr>
                <w:ilvl w:val="0"/>
                <w:numId w:val="17"/>
              </w:numPr>
              <w:autoSpaceDE w:val="0"/>
              <w:autoSpaceDN w:val="0"/>
              <w:adjustRightInd w:val="0"/>
              <w:spacing w:after="0" w:line="240" w:lineRule="auto"/>
              <w:rPr>
                <w:rFonts w:ascii="Verdana" w:hAnsi="Verdana"/>
                <w:sz w:val="18"/>
                <w:szCs w:val="18"/>
              </w:rPr>
            </w:pPr>
            <w:r w:rsidRPr="00025B12">
              <w:rPr>
                <w:rFonts w:ascii="Verdana" w:hAnsi="Verdana"/>
                <w:sz w:val="18"/>
                <w:szCs w:val="18"/>
              </w:rPr>
              <w:t>Podnik upřednostňoval získávání osob s požadovanými dovednostmi a schopnostmi</w:t>
            </w:r>
          </w:p>
          <w:p w:rsidR="004C030B" w:rsidRPr="00025B12" w:rsidRDefault="004C030B" w:rsidP="005E2CC2">
            <w:pPr>
              <w:numPr>
                <w:ilvl w:val="0"/>
                <w:numId w:val="17"/>
              </w:numPr>
              <w:autoSpaceDE w:val="0"/>
              <w:autoSpaceDN w:val="0"/>
              <w:adjustRightInd w:val="0"/>
              <w:spacing w:after="0" w:line="240" w:lineRule="auto"/>
              <w:rPr>
                <w:rFonts w:ascii="Verdana" w:hAnsi="Verdana"/>
                <w:sz w:val="18"/>
                <w:szCs w:val="18"/>
              </w:rPr>
            </w:pPr>
            <w:r w:rsidRPr="00025B12">
              <w:rPr>
                <w:rFonts w:ascii="Verdana" w:hAnsi="Verdana"/>
                <w:sz w:val="18"/>
                <w:szCs w:val="18"/>
              </w:rPr>
              <w:t>Obtíže s identifikací potřeb DOV v podniku</w:t>
            </w:r>
          </w:p>
          <w:p w:rsidR="004C030B" w:rsidRPr="00025B12" w:rsidRDefault="004C030B" w:rsidP="005E2CC2">
            <w:pPr>
              <w:numPr>
                <w:ilvl w:val="0"/>
                <w:numId w:val="17"/>
              </w:numPr>
              <w:autoSpaceDE w:val="0"/>
              <w:autoSpaceDN w:val="0"/>
              <w:adjustRightInd w:val="0"/>
              <w:spacing w:after="0" w:line="240" w:lineRule="auto"/>
              <w:rPr>
                <w:rFonts w:ascii="Verdana" w:hAnsi="Verdana"/>
                <w:sz w:val="18"/>
                <w:szCs w:val="18"/>
              </w:rPr>
            </w:pPr>
            <w:r w:rsidRPr="00025B12">
              <w:rPr>
                <w:rFonts w:ascii="Verdana" w:hAnsi="Verdana"/>
                <w:sz w:val="18"/>
                <w:szCs w:val="18"/>
              </w:rPr>
              <w:t>Nedostatek vhodných kurzů DOV na trhu</w:t>
            </w:r>
          </w:p>
          <w:p w:rsidR="004C030B" w:rsidRPr="00025B12" w:rsidRDefault="004C030B" w:rsidP="005E2CC2">
            <w:pPr>
              <w:numPr>
                <w:ilvl w:val="0"/>
                <w:numId w:val="17"/>
              </w:numPr>
              <w:autoSpaceDE w:val="0"/>
              <w:autoSpaceDN w:val="0"/>
              <w:adjustRightInd w:val="0"/>
              <w:spacing w:after="0" w:line="240" w:lineRule="auto"/>
              <w:rPr>
                <w:rFonts w:ascii="Verdana" w:hAnsi="Verdana"/>
                <w:sz w:val="18"/>
                <w:szCs w:val="18"/>
              </w:rPr>
            </w:pPr>
            <w:r w:rsidRPr="00025B12">
              <w:rPr>
                <w:rFonts w:ascii="Verdana" w:hAnsi="Verdana"/>
                <w:sz w:val="18"/>
                <w:szCs w:val="18"/>
              </w:rPr>
              <w:t>Vysoké náklady na kurzy DOV</w:t>
            </w:r>
          </w:p>
          <w:p w:rsidR="004C030B" w:rsidRPr="00025B12" w:rsidRDefault="004C030B" w:rsidP="005E2CC2">
            <w:pPr>
              <w:numPr>
                <w:ilvl w:val="0"/>
                <w:numId w:val="17"/>
              </w:numPr>
              <w:autoSpaceDE w:val="0"/>
              <w:autoSpaceDN w:val="0"/>
              <w:adjustRightInd w:val="0"/>
              <w:spacing w:after="0" w:line="240" w:lineRule="auto"/>
              <w:rPr>
                <w:rFonts w:ascii="Verdana" w:hAnsi="Verdana"/>
                <w:sz w:val="18"/>
                <w:szCs w:val="18"/>
              </w:rPr>
            </w:pPr>
            <w:r w:rsidRPr="00025B12">
              <w:rPr>
                <w:rFonts w:ascii="Verdana" w:hAnsi="Verdana"/>
                <w:sz w:val="18"/>
                <w:szCs w:val="18"/>
              </w:rPr>
              <w:t>Upřednostňování POV před DOV</w:t>
            </w:r>
          </w:p>
          <w:p w:rsidR="004C030B" w:rsidRPr="00025B12" w:rsidRDefault="004C030B" w:rsidP="005E2CC2">
            <w:pPr>
              <w:numPr>
                <w:ilvl w:val="0"/>
                <w:numId w:val="17"/>
              </w:numPr>
              <w:autoSpaceDE w:val="0"/>
              <w:autoSpaceDN w:val="0"/>
              <w:adjustRightInd w:val="0"/>
              <w:spacing w:after="0" w:line="240" w:lineRule="auto"/>
              <w:rPr>
                <w:rFonts w:ascii="Verdana" w:hAnsi="Verdana"/>
                <w:sz w:val="18"/>
                <w:szCs w:val="18"/>
              </w:rPr>
            </w:pPr>
            <w:r w:rsidRPr="00025B12">
              <w:rPr>
                <w:rFonts w:ascii="Verdana" w:hAnsi="Verdana"/>
                <w:sz w:val="18"/>
                <w:szCs w:val="18"/>
              </w:rPr>
              <w:t>Vzdělávací aktivity se uskutečnily v předchozím roce</w:t>
            </w:r>
          </w:p>
          <w:p w:rsidR="004C030B" w:rsidRPr="00025B12" w:rsidRDefault="004C030B" w:rsidP="005E2CC2">
            <w:pPr>
              <w:numPr>
                <w:ilvl w:val="0"/>
                <w:numId w:val="17"/>
              </w:numPr>
              <w:autoSpaceDE w:val="0"/>
              <w:autoSpaceDN w:val="0"/>
              <w:adjustRightInd w:val="0"/>
              <w:spacing w:after="0" w:line="240" w:lineRule="auto"/>
              <w:rPr>
                <w:rFonts w:ascii="Verdana" w:hAnsi="Verdana"/>
                <w:sz w:val="18"/>
                <w:szCs w:val="18"/>
              </w:rPr>
            </w:pPr>
            <w:r w:rsidRPr="00025B12">
              <w:rPr>
                <w:rFonts w:ascii="Verdana" w:hAnsi="Verdana"/>
                <w:sz w:val="18"/>
                <w:szCs w:val="18"/>
              </w:rPr>
              <w:t>Vysoké pracovní zatížení a nedostatek času zaměstnaných osob</w:t>
            </w:r>
          </w:p>
          <w:p w:rsidR="004C030B" w:rsidRPr="00025B12" w:rsidRDefault="004C030B" w:rsidP="005E2CC2">
            <w:pPr>
              <w:numPr>
                <w:ilvl w:val="0"/>
                <w:numId w:val="17"/>
              </w:numPr>
              <w:jc w:val="both"/>
              <w:rPr>
                <w:rFonts w:ascii="Verdana" w:hAnsi="Verdana"/>
                <w:sz w:val="18"/>
                <w:szCs w:val="18"/>
              </w:rPr>
            </w:pPr>
            <w:r w:rsidRPr="00025B12">
              <w:rPr>
                <w:rFonts w:ascii="Verdana" w:hAnsi="Verdana"/>
                <w:sz w:val="18"/>
                <w:szCs w:val="18"/>
              </w:rPr>
              <w:t>Jiné důvody</w:t>
            </w:r>
          </w:p>
          <w:p w:rsidR="004C030B" w:rsidRPr="00025B12" w:rsidRDefault="004C030B" w:rsidP="00A9209D">
            <w:pPr>
              <w:jc w:val="both"/>
              <w:rPr>
                <w:rFonts w:ascii="Verdana" w:hAnsi="Verdana"/>
                <w:sz w:val="18"/>
                <w:szCs w:val="18"/>
              </w:rPr>
            </w:pPr>
            <w:r w:rsidRPr="00025B12">
              <w:rPr>
                <w:rFonts w:ascii="Verdana" w:hAnsi="Verdana"/>
                <w:sz w:val="18"/>
                <w:szCs w:val="18"/>
              </w:rPr>
              <w:t>Uvedené důvody byly zjišťovány v posledním kole šetření v roce 2005, v roce 1999 se mírně lišily (viz tabulka). Podniky uváděly 3 nejčastější důvody, procenta vyjadřují podíl podniků, u kterých se daný důvod mezi třemi nejčastějšími objevil</w:t>
            </w:r>
            <w:r w:rsidR="00BC6740" w:rsidRPr="00025B12">
              <w:rPr>
                <w:rFonts w:ascii="Verdana" w:hAnsi="Verdana"/>
                <w:sz w:val="18"/>
                <w:szCs w:val="18"/>
              </w:rPr>
              <w:t>, na všech podnicích, které neposkytovaly vzdělávání</w:t>
            </w:r>
            <w:r w:rsidRPr="00025B12">
              <w:rPr>
                <w:rFonts w:ascii="Verdana" w:hAnsi="Verdana"/>
                <w:sz w:val="18"/>
                <w:szCs w:val="18"/>
              </w:rPr>
              <w:t>.</w:t>
            </w:r>
          </w:p>
        </w:tc>
      </w:tr>
      <w:tr w:rsidR="004C030B" w:rsidRPr="00025B12" w:rsidTr="00785B82">
        <w:trPr>
          <w:trHeight w:val="1053"/>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4C030B" w:rsidRPr="00025B12" w:rsidRDefault="004C030B" w:rsidP="00A9209D">
            <w:pPr>
              <w:jc w:val="both"/>
              <w:rPr>
                <w:rFonts w:ascii="Verdana" w:hAnsi="Verdana"/>
                <w:sz w:val="18"/>
                <w:szCs w:val="18"/>
              </w:rPr>
            </w:pPr>
            <w:r w:rsidRPr="00025B12">
              <w:rPr>
                <w:rFonts w:ascii="Verdana" w:hAnsi="Verdana"/>
                <w:sz w:val="18"/>
                <w:szCs w:val="18"/>
              </w:rPr>
              <w:t>Pro mezinárodní srovnání je indikátor dopočten z údajů publikovaných na webových stránkách Eurostatu. Regionální údaje nejsou k dispozici.</w:t>
            </w:r>
          </w:p>
        </w:tc>
      </w:tr>
      <w:tr w:rsidR="004C030B" w:rsidRPr="00025B12" w:rsidTr="00785B82">
        <w:trPr>
          <w:trHeight w:val="837"/>
        </w:trPr>
        <w:tc>
          <w:tcPr>
            <w:tcW w:w="9288" w:type="dxa"/>
            <w:gridSpan w:val="5"/>
          </w:tcPr>
          <w:p w:rsidR="004C030B" w:rsidRPr="00025B12" w:rsidRDefault="004C030B"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4C030B" w:rsidRPr="00025B12" w:rsidRDefault="004C030B" w:rsidP="00A9209D">
            <w:pPr>
              <w:jc w:val="both"/>
              <w:rPr>
                <w:rFonts w:ascii="Verdana" w:hAnsi="Verdana"/>
                <w:sz w:val="18"/>
                <w:szCs w:val="18"/>
              </w:rPr>
            </w:pPr>
            <w:r w:rsidRPr="00025B12">
              <w:rPr>
                <w:rFonts w:ascii="Verdana" w:hAnsi="Verdana"/>
                <w:sz w:val="18"/>
                <w:szCs w:val="18"/>
              </w:rPr>
              <w:t>-</w:t>
            </w:r>
          </w:p>
        </w:tc>
      </w:tr>
    </w:tbl>
    <w:p w:rsidR="004C030B" w:rsidRPr="00025B12" w:rsidRDefault="004C030B" w:rsidP="004C030B"/>
    <w:p w:rsidR="00C43089" w:rsidRPr="00025B12" w:rsidRDefault="00C43089" w:rsidP="00C43089">
      <w:pPr>
        <w:jc w:val="both"/>
        <w:rPr>
          <w:rFonts w:ascii="Verdana" w:hAnsi="Verdana"/>
          <w:sz w:val="20"/>
          <w:szCs w:val="20"/>
        </w:rPr>
      </w:pPr>
    </w:p>
    <w:p w:rsidR="00C43089" w:rsidRPr="00025B12" w:rsidRDefault="004C030B" w:rsidP="00D131AA">
      <w:pPr>
        <w:pStyle w:val="nadkonc3"/>
        <w:numPr>
          <w:ilvl w:val="2"/>
          <w:numId w:val="10"/>
        </w:numPr>
        <w:rPr>
          <w:caps/>
        </w:rPr>
      </w:pPr>
      <w:bookmarkStart w:id="111" w:name="_Toc295836807"/>
      <w:r w:rsidRPr="00025B12">
        <w:rPr>
          <w:caps/>
        </w:rPr>
        <w:br w:type="page"/>
      </w:r>
      <w:bookmarkStart w:id="112" w:name="_Toc304898623"/>
      <w:r w:rsidR="00C43089" w:rsidRPr="00025B12">
        <w:rPr>
          <w:caps/>
        </w:rPr>
        <w:lastRenderedPageBreak/>
        <w:t>Výstupy</w:t>
      </w:r>
      <w:bookmarkEnd w:id="105"/>
      <w:bookmarkEnd w:id="106"/>
      <w:bookmarkEnd w:id="111"/>
      <w:bookmarkEnd w:id="112"/>
    </w:p>
    <w:p w:rsidR="00C43089" w:rsidRPr="00025B12" w:rsidRDefault="00C43089" w:rsidP="00C43089">
      <w:pPr>
        <w:jc w:val="both"/>
        <w:rPr>
          <w:rFonts w:ascii="Verdana" w:hAnsi="Verdana"/>
          <w:sz w:val="20"/>
          <w:szCs w:val="20"/>
        </w:rPr>
      </w:pPr>
      <w:r w:rsidRPr="00025B12">
        <w:rPr>
          <w:rFonts w:ascii="Verdana" w:hAnsi="Verdana"/>
          <w:sz w:val="20"/>
          <w:szCs w:val="20"/>
        </w:rPr>
        <w:t>Za výstupy systému dalšího vzdělávání je považována především skutečná účast na dalším vzdělávání. Bylo by velmi zajímavé, pokud bychom mohli měřit a monitorovat výstupy dalšího vzdělávání v podobě skutečných výsledků (efektů) – např. zvyšování vzdělanostní úrovně a kompetencí populace, zvyšování konkurenceschopnosti podniků a ekonomiky. Všechny tyto ukazatele jsou však velmi komplexní a přispívá k nim řada jiných faktorů než pouze další vzdělávání. Jsou proto zařazeny do kontextového pilíře. Je samozřejmě možné následně zkoumat vztah mezi pilířem výstupy a kontextovým pilířem a usuzovat tak na vztah mezi dalším vzděláváním a zmíněnými charakteristikami napříč zeměmi, regiony či v časové řadě. Pro samotný monitoring však byly výstupy systému dalšího vzdělávání ztotožněny s účastí na různých formách dalšího vzdělávání. Výstupy dalšího vzdělávání jsou asi nejlépe informačně pokrytou oblastí dalšího vzdělávání, neboť účast na dalším vzdělávání je sledována hned v několika zavedených mezinárodních šetřeních.</w:t>
      </w:r>
    </w:p>
    <w:p w:rsidR="00C43089" w:rsidRPr="00025B12" w:rsidRDefault="00C43089" w:rsidP="00C43089">
      <w:pPr>
        <w:jc w:val="both"/>
        <w:rPr>
          <w:rFonts w:ascii="Verdana" w:hAnsi="Verdana"/>
          <w:sz w:val="20"/>
          <w:szCs w:val="20"/>
        </w:rPr>
      </w:pPr>
      <w:r w:rsidRPr="00025B12">
        <w:rPr>
          <w:rFonts w:ascii="Verdana" w:hAnsi="Verdana"/>
          <w:sz w:val="20"/>
          <w:szCs w:val="20"/>
        </w:rPr>
        <w:t>V rámci pilíře Výstupy jsou navrhovány následující 4 oblasti:</w:t>
      </w:r>
    </w:p>
    <w:p w:rsidR="00C43089" w:rsidRPr="00025B12" w:rsidRDefault="00C43089" w:rsidP="00C43089">
      <w:pPr>
        <w:jc w:val="both"/>
        <w:rPr>
          <w:rFonts w:ascii="Verdana" w:hAnsi="Verdana"/>
          <w:sz w:val="20"/>
          <w:szCs w:val="20"/>
        </w:rPr>
      </w:pPr>
      <w:r w:rsidRPr="00025B12">
        <w:rPr>
          <w:rFonts w:ascii="Verdana" w:hAnsi="Verdana"/>
          <w:sz w:val="20"/>
          <w:szCs w:val="20"/>
        </w:rPr>
        <w:t>IV.1</w:t>
      </w:r>
      <w:r w:rsidRPr="00025B12">
        <w:rPr>
          <w:rFonts w:ascii="Verdana" w:hAnsi="Verdana"/>
          <w:sz w:val="20"/>
          <w:szCs w:val="20"/>
        </w:rPr>
        <w:tab/>
        <w:t>Účast jednotlivců na formálním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IV.2</w:t>
      </w:r>
      <w:r w:rsidRPr="00025B12">
        <w:rPr>
          <w:rFonts w:ascii="Verdana" w:hAnsi="Verdana"/>
          <w:sz w:val="20"/>
          <w:szCs w:val="20"/>
        </w:rPr>
        <w:tab/>
        <w:t>Účast jednotlivců na neformálním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IV.3</w:t>
      </w:r>
      <w:r w:rsidRPr="00025B12">
        <w:rPr>
          <w:rFonts w:ascii="Verdana" w:hAnsi="Verdana"/>
          <w:sz w:val="20"/>
          <w:szCs w:val="20"/>
        </w:rPr>
        <w:tab/>
        <w:t>Uznávání výsledků celoživotního učení</w:t>
      </w:r>
    </w:p>
    <w:p w:rsidR="00C43089" w:rsidRPr="00025B12" w:rsidRDefault="00C43089" w:rsidP="00C43089">
      <w:pPr>
        <w:jc w:val="both"/>
        <w:rPr>
          <w:rFonts w:ascii="Verdana" w:hAnsi="Verdana"/>
          <w:sz w:val="20"/>
          <w:szCs w:val="20"/>
        </w:rPr>
      </w:pPr>
      <w:r w:rsidRPr="00025B12">
        <w:rPr>
          <w:rFonts w:ascii="Verdana" w:hAnsi="Verdana"/>
          <w:sz w:val="20"/>
          <w:szCs w:val="20"/>
        </w:rPr>
        <w:t>IV.4</w:t>
      </w:r>
      <w:r w:rsidRPr="00025B12">
        <w:rPr>
          <w:rFonts w:ascii="Verdana" w:hAnsi="Verdana"/>
          <w:sz w:val="20"/>
          <w:szCs w:val="20"/>
        </w:rPr>
        <w:tab/>
        <w:t>Účast na podnikovém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Těmto oblastem jsou předřazeny dva indikátory IV.0, které bez rozlišení formy měří účast populace na dalším vzdělávání.</w:t>
      </w:r>
    </w:p>
    <w:p w:rsidR="00C43089" w:rsidRPr="00025B12" w:rsidRDefault="00C43089" w:rsidP="00C43089">
      <w:pPr>
        <w:jc w:val="both"/>
        <w:rPr>
          <w:rFonts w:ascii="Verdana" w:hAnsi="Verdana"/>
          <w:sz w:val="20"/>
          <w:szCs w:val="20"/>
        </w:rPr>
      </w:pPr>
      <w:r w:rsidRPr="00025B12">
        <w:rPr>
          <w:rFonts w:ascii="Verdana" w:hAnsi="Verdana"/>
          <w:sz w:val="20"/>
          <w:szCs w:val="20"/>
        </w:rPr>
        <w:t>Indikátory v pilíři výstupy se zaměřují jednak na míru účasti populace na různých formách dalšího vzdělávání, rozsah tohoto vzdělávání a také na účast vybraných skupin a s ní související míru nerovností v přístupu k dalšímu vzdělávání.</w:t>
      </w:r>
    </w:p>
    <w:p w:rsidR="004C030B" w:rsidRPr="00025B12" w:rsidRDefault="004C030B" w:rsidP="000C6631">
      <w:pPr>
        <w:outlineLvl w:val="0"/>
        <w:rPr>
          <w:rFonts w:ascii="Verdana" w:hAnsi="Verdana"/>
          <w:b/>
          <w:sz w:val="24"/>
          <w:szCs w:val="24"/>
        </w:rPr>
      </w:pPr>
      <w:r w:rsidRPr="00025B12">
        <w:rPr>
          <w:rFonts w:ascii="Verdana" w:hAnsi="Verdana"/>
          <w:b/>
          <w:sz w:val="20"/>
          <w:szCs w:val="20"/>
          <w:u w:val="single"/>
        </w:rPr>
        <w:br w:type="page"/>
      </w:r>
      <w:r w:rsidRPr="00025B12">
        <w:rPr>
          <w:rFonts w:ascii="Verdana" w:hAnsi="Verdana"/>
          <w:b/>
          <w:sz w:val="24"/>
          <w:szCs w:val="24"/>
        </w:rPr>
        <w:lastRenderedPageBreak/>
        <w:t>IV. 0 Celková účast jednotlivců na dalším vzdělávání</w:t>
      </w:r>
    </w:p>
    <w:p w:rsidR="00A9209D" w:rsidRPr="00025B12" w:rsidRDefault="00A9209D" w:rsidP="00A920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684"/>
        <w:gridCol w:w="2295"/>
        <w:gridCol w:w="2118"/>
        <w:gridCol w:w="1740"/>
      </w:tblGrid>
      <w:tr w:rsidR="00A9209D" w:rsidRPr="00025B12" w:rsidTr="00C545F3">
        <w:trPr>
          <w:trHeight w:val="425"/>
        </w:trPr>
        <w:tc>
          <w:tcPr>
            <w:tcW w:w="1451" w:type="dxa"/>
            <w:tcBorders>
              <w:bottom w:val="single" w:sz="4" w:space="0" w:color="auto"/>
              <w:right w:val="single" w:sz="4" w:space="0" w:color="auto"/>
            </w:tcBorders>
            <w:shd w:val="clear" w:color="auto" w:fill="663399"/>
            <w:vAlign w:val="center"/>
          </w:tcPr>
          <w:p w:rsidR="00A9209D" w:rsidRPr="00025B12" w:rsidRDefault="00A9209D" w:rsidP="00A9209D">
            <w:pPr>
              <w:pStyle w:val="Kd"/>
              <w:rPr>
                <w:sz w:val="18"/>
                <w:szCs w:val="18"/>
              </w:rPr>
            </w:pPr>
            <w:r w:rsidRPr="00025B12">
              <w:rPr>
                <w:sz w:val="18"/>
                <w:szCs w:val="18"/>
              </w:rPr>
              <w:br w:type="page"/>
            </w:r>
            <w:r w:rsidRPr="00025B12">
              <w:rPr>
                <w:sz w:val="18"/>
                <w:szCs w:val="18"/>
              </w:rPr>
              <w:br w:type="page"/>
            </w:r>
            <w:bookmarkStart w:id="113" w:name="IV01"/>
            <w:r w:rsidRPr="00025B12">
              <w:rPr>
                <w:sz w:val="18"/>
                <w:szCs w:val="18"/>
              </w:rPr>
              <w:t>IV.0.1</w:t>
            </w:r>
            <w:bookmarkEnd w:id="113"/>
          </w:p>
        </w:tc>
        <w:tc>
          <w:tcPr>
            <w:tcW w:w="7837" w:type="dxa"/>
            <w:gridSpan w:val="4"/>
            <w:vMerge w:val="restart"/>
            <w:tcBorders>
              <w:top w:val="single" w:sz="4" w:space="0" w:color="auto"/>
              <w:left w:val="single" w:sz="4" w:space="0" w:color="auto"/>
              <w:right w:val="single" w:sz="4" w:space="0" w:color="auto"/>
            </w:tcBorders>
            <w:shd w:val="clear" w:color="auto" w:fill="663399"/>
            <w:vAlign w:val="center"/>
          </w:tcPr>
          <w:p w:rsidR="00A9209D" w:rsidRPr="00025B12" w:rsidRDefault="00A9209D" w:rsidP="00FF1533">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Účast dospělé populace na vzdělávání v posledních 4 týdnech</w:t>
            </w:r>
          </w:p>
        </w:tc>
      </w:tr>
      <w:tr w:rsidR="00A9209D" w:rsidRPr="00025B12" w:rsidTr="00C545F3">
        <w:trPr>
          <w:trHeight w:val="360"/>
        </w:trPr>
        <w:tc>
          <w:tcPr>
            <w:tcW w:w="1451" w:type="dxa"/>
            <w:tcBorders>
              <w:top w:val="single" w:sz="4" w:space="0" w:color="auto"/>
              <w:bottom w:val="single" w:sz="4" w:space="0" w:color="auto"/>
              <w:right w:val="single" w:sz="4" w:space="0" w:color="auto"/>
            </w:tcBorders>
            <w:shd w:val="clear" w:color="auto" w:fill="663399"/>
            <w:vAlign w:val="center"/>
          </w:tcPr>
          <w:p w:rsidR="00A9209D" w:rsidRPr="00025B12" w:rsidRDefault="00625F3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37" w:type="dxa"/>
            <w:gridSpan w:val="4"/>
            <w:vMerge/>
            <w:tcBorders>
              <w:left w:val="single" w:sz="4" w:space="0" w:color="auto"/>
              <w:bottom w:val="single" w:sz="4" w:space="0" w:color="auto"/>
              <w:right w:val="single"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296FE3">
        <w:trPr>
          <w:trHeight w:val="360"/>
        </w:trPr>
        <w:tc>
          <w:tcPr>
            <w:tcW w:w="1451" w:type="dxa"/>
            <w:tcBorders>
              <w:top w:val="single"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p>
        </w:tc>
        <w:tc>
          <w:tcPr>
            <w:tcW w:w="1684"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95"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8"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0" w:type="dxa"/>
            <w:tcBorders>
              <w:top w:val="single" w:sz="4" w:space="0" w:color="auto"/>
              <w:left w:val="dotted" w:sz="4" w:space="0" w:color="auto"/>
              <w:bottom w:val="dotted" w:sz="4" w:space="0" w:color="auto"/>
            </w:tcBorders>
            <w:vAlign w:val="center"/>
          </w:tcPr>
          <w:p w:rsidR="00A9209D" w:rsidRPr="00025B12" w:rsidRDefault="00A9209D"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A9209D" w:rsidRPr="00025B12" w:rsidTr="00C545F3">
        <w:trPr>
          <w:trHeight w:val="360"/>
        </w:trPr>
        <w:tc>
          <w:tcPr>
            <w:tcW w:w="1451" w:type="dxa"/>
            <w:tcBorders>
              <w:top w:val="dotted"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84" w:type="dxa"/>
            <w:tcBorders>
              <w:top w:val="dotted" w:sz="4" w:space="0" w:color="auto"/>
              <w:left w:val="dotted" w:sz="4" w:space="0" w:color="auto"/>
              <w:bottom w:val="dotted" w:sz="4" w:space="0" w:color="auto"/>
              <w:right w:val="dotted" w:sz="4" w:space="0" w:color="auto"/>
            </w:tcBorders>
            <w:vAlign w:val="center"/>
          </w:tcPr>
          <w:p w:rsidR="00A9209D" w:rsidRPr="00025B12" w:rsidRDefault="00665F1D" w:rsidP="00A9209D">
            <w:pPr>
              <w:spacing w:after="0" w:line="240" w:lineRule="auto"/>
              <w:jc w:val="center"/>
              <w:rPr>
                <w:rFonts w:ascii="Verdana" w:eastAsiaTheme="minorHAnsi" w:hAnsi="Verdana" w:cstheme="minorBidi"/>
                <w:sz w:val="18"/>
                <w:szCs w:val="18"/>
              </w:rPr>
            </w:pPr>
            <w:hyperlink w:anchor="VŠPS" w:history="1">
              <w:r w:rsidR="00A9209D" w:rsidRPr="00025B12">
                <w:rPr>
                  <w:rStyle w:val="Hypertextovodkaz"/>
                  <w:rFonts w:ascii="Verdana" w:eastAsiaTheme="minorHAnsi" w:hAnsi="Verdana" w:cstheme="minorBidi"/>
                  <w:sz w:val="18"/>
                  <w:szCs w:val="18"/>
                </w:rPr>
                <w:t>LFS (VŠPS)</w:t>
              </w:r>
            </w:hyperlink>
          </w:p>
        </w:tc>
        <w:tc>
          <w:tcPr>
            <w:tcW w:w="2295"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18"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0" w:type="dxa"/>
            <w:tcBorders>
              <w:top w:val="dotted" w:sz="4" w:space="0" w:color="auto"/>
              <w:left w:val="dotted" w:sz="4" w:space="0" w:color="auto"/>
              <w:bottom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w:t>
            </w:r>
            <w:r w:rsidR="005D28B5" w:rsidRPr="00025B12">
              <w:rPr>
                <w:rFonts w:ascii="Verdana" w:eastAsiaTheme="minorHAnsi" w:hAnsi="Verdana" w:cstheme="minorBidi"/>
                <w:sz w:val="18"/>
                <w:szCs w:val="18"/>
              </w:rPr>
              <w:t>2</w:t>
            </w:r>
          </w:p>
        </w:tc>
      </w:tr>
      <w:tr w:rsidR="00C545F3" w:rsidRPr="00025B12" w:rsidTr="00C545F3">
        <w:trPr>
          <w:trHeight w:val="360"/>
        </w:trPr>
        <w:tc>
          <w:tcPr>
            <w:tcW w:w="1451" w:type="dxa"/>
            <w:tcBorders>
              <w:top w:val="dotted" w:sz="4" w:space="0" w:color="auto"/>
              <w:bottom w:val="dotted" w:sz="4" w:space="0" w:color="auto"/>
              <w:right w:val="dotted" w:sz="4" w:space="0" w:color="auto"/>
            </w:tcBorders>
          </w:tcPr>
          <w:p w:rsidR="00C545F3" w:rsidRPr="00025B12" w:rsidRDefault="00C545F3"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84" w:type="dxa"/>
            <w:tcBorders>
              <w:top w:val="dotted" w:sz="4" w:space="0" w:color="auto"/>
              <w:left w:val="dotted" w:sz="4" w:space="0" w:color="auto"/>
              <w:bottom w:val="dotted" w:sz="4" w:space="0" w:color="auto"/>
              <w:right w:val="dotted" w:sz="4" w:space="0" w:color="auto"/>
            </w:tcBorders>
            <w:vAlign w:val="center"/>
          </w:tcPr>
          <w:p w:rsidR="00C545F3" w:rsidRPr="00025B12" w:rsidRDefault="00665F1D" w:rsidP="005F2F0A">
            <w:pPr>
              <w:spacing w:after="0" w:line="240" w:lineRule="auto"/>
              <w:jc w:val="center"/>
              <w:rPr>
                <w:rFonts w:ascii="Verdana" w:eastAsiaTheme="minorHAnsi" w:hAnsi="Verdana" w:cstheme="minorBidi"/>
                <w:sz w:val="18"/>
                <w:szCs w:val="18"/>
              </w:rPr>
            </w:pPr>
            <w:hyperlink w:anchor="VŠPS" w:history="1">
              <w:r w:rsidR="00C545F3" w:rsidRPr="00025B12">
                <w:rPr>
                  <w:rStyle w:val="Hypertextovodkaz"/>
                  <w:rFonts w:ascii="Verdana" w:eastAsiaTheme="minorHAnsi" w:hAnsi="Verdana" w:cstheme="minorBidi"/>
                  <w:sz w:val="18"/>
                  <w:szCs w:val="18"/>
                </w:rPr>
                <w:t>LFS (VŠPS)</w:t>
              </w:r>
            </w:hyperlink>
          </w:p>
        </w:tc>
        <w:tc>
          <w:tcPr>
            <w:tcW w:w="2295" w:type="dxa"/>
            <w:tcBorders>
              <w:top w:val="dotted" w:sz="4" w:space="0" w:color="auto"/>
              <w:left w:val="dotted" w:sz="4" w:space="0" w:color="auto"/>
              <w:bottom w:val="dotted" w:sz="4" w:space="0" w:color="auto"/>
              <w:right w:val="dotted" w:sz="4" w:space="0" w:color="auto"/>
            </w:tcBorders>
            <w:vAlign w:val="center"/>
          </w:tcPr>
          <w:p w:rsidR="00C545F3" w:rsidRPr="00025B12" w:rsidRDefault="00C545F3"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18" w:type="dxa"/>
            <w:tcBorders>
              <w:top w:val="dotted" w:sz="4" w:space="0" w:color="auto"/>
              <w:left w:val="dotted" w:sz="4" w:space="0" w:color="auto"/>
              <w:bottom w:val="dotted" w:sz="4" w:space="0" w:color="auto"/>
              <w:right w:val="dotted" w:sz="4" w:space="0" w:color="auto"/>
            </w:tcBorders>
            <w:vAlign w:val="center"/>
          </w:tcPr>
          <w:p w:rsidR="00C545F3" w:rsidRPr="00025B12" w:rsidRDefault="00C545F3"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0" w:type="dxa"/>
            <w:tcBorders>
              <w:top w:val="dotted" w:sz="4" w:space="0" w:color="auto"/>
              <w:left w:val="dotted" w:sz="4" w:space="0" w:color="auto"/>
              <w:bottom w:val="dotted" w:sz="4" w:space="0" w:color="auto"/>
            </w:tcBorders>
          </w:tcPr>
          <w:p w:rsidR="00C545F3" w:rsidRPr="00025B12" w:rsidRDefault="00C545F3"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w:t>
            </w:r>
            <w:r w:rsidR="005D28B5" w:rsidRPr="00025B12">
              <w:rPr>
                <w:rFonts w:ascii="Verdana" w:eastAsiaTheme="minorHAnsi" w:hAnsi="Verdana" w:cstheme="minorBidi"/>
                <w:sz w:val="18"/>
                <w:szCs w:val="18"/>
              </w:rPr>
              <w:t>2</w:t>
            </w:r>
          </w:p>
        </w:tc>
      </w:tr>
      <w:tr w:rsidR="00C545F3" w:rsidRPr="00025B12" w:rsidTr="00C545F3">
        <w:trPr>
          <w:trHeight w:val="360"/>
        </w:trPr>
        <w:tc>
          <w:tcPr>
            <w:tcW w:w="1451" w:type="dxa"/>
            <w:tcBorders>
              <w:top w:val="dotted" w:sz="4" w:space="0" w:color="auto"/>
              <w:right w:val="dotted" w:sz="4" w:space="0" w:color="auto"/>
            </w:tcBorders>
          </w:tcPr>
          <w:p w:rsidR="00C545F3" w:rsidRPr="00025B12" w:rsidRDefault="00C545F3"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84" w:type="dxa"/>
            <w:tcBorders>
              <w:top w:val="dotted" w:sz="4" w:space="0" w:color="auto"/>
              <w:left w:val="dotted" w:sz="4" w:space="0" w:color="auto"/>
              <w:right w:val="dotted" w:sz="4" w:space="0" w:color="auto"/>
            </w:tcBorders>
            <w:vAlign w:val="center"/>
          </w:tcPr>
          <w:p w:rsidR="00C545F3" w:rsidRPr="00025B12" w:rsidRDefault="00665F1D" w:rsidP="005F2F0A">
            <w:pPr>
              <w:spacing w:after="0" w:line="240" w:lineRule="auto"/>
              <w:jc w:val="center"/>
              <w:rPr>
                <w:rFonts w:ascii="Verdana" w:eastAsiaTheme="minorHAnsi" w:hAnsi="Verdana" w:cstheme="minorBidi"/>
                <w:sz w:val="18"/>
                <w:szCs w:val="18"/>
              </w:rPr>
            </w:pPr>
            <w:hyperlink w:anchor="VŠPS" w:history="1">
              <w:r w:rsidR="00C545F3" w:rsidRPr="00025B12">
                <w:rPr>
                  <w:rStyle w:val="Hypertextovodkaz"/>
                  <w:rFonts w:ascii="Verdana" w:eastAsiaTheme="minorHAnsi" w:hAnsi="Verdana" w:cstheme="minorBidi"/>
                  <w:sz w:val="18"/>
                  <w:szCs w:val="18"/>
                </w:rPr>
                <w:t>LFS (VŠPS)</w:t>
              </w:r>
            </w:hyperlink>
          </w:p>
        </w:tc>
        <w:tc>
          <w:tcPr>
            <w:tcW w:w="2295" w:type="dxa"/>
            <w:tcBorders>
              <w:top w:val="dotted" w:sz="4" w:space="0" w:color="auto"/>
              <w:left w:val="dotted" w:sz="4" w:space="0" w:color="auto"/>
              <w:right w:val="dotted" w:sz="4" w:space="0" w:color="auto"/>
            </w:tcBorders>
            <w:vAlign w:val="center"/>
          </w:tcPr>
          <w:p w:rsidR="00C545F3" w:rsidRPr="00025B12" w:rsidRDefault="00C545F3"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18" w:type="dxa"/>
            <w:tcBorders>
              <w:top w:val="dotted" w:sz="4" w:space="0" w:color="auto"/>
              <w:left w:val="dotted" w:sz="4" w:space="0" w:color="auto"/>
              <w:right w:val="dotted" w:sz="4" w:space="0" w:color="auto"/>
            </w:tcBorders>
            <w:vAlign w:val="center"/>
          </w:tcPr>
          <w:p w:rsidR="00C545F3" w:rsidRPr="00025B12" w:rsidRDefault="00C545F3"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0" w:type="dxa"/>
            <w:tcBorders>
              <w:top w:val="dotted" w:sz="4" w:space="0" w:color="auto"/>
              <w:left w:val="dotted" w:sz="4" w:space="0" w:color="auto"/>
            </w:tcBorders>
          </w:tcPr>
          <w:p w:rsidR="00C545F3" w:rsidRPr="00025B12" w:rsidRDefault="00C545F3"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w:t>
            </w:r>
            <w:r w:rsidR="005D28B5" w:rsidRPr="00025B12">
              <w:rPr>
                <w:rFonts w:ascii="Verdana" w:eastAsiaTheme="minorHAnsi" w:hAnsi="Verdana" w:cstheme="minorBidi"/>
                <w:sz w:val="18"/>
                <w:szCs w:val="18"/>
              </w:rPr>
              <w:t>2</w:t>
            </w:r>
          </w:p>
        </w:tc>
      </w:tr>
      <w:tr w:rsidR="00A9209D" w:rsidRPr="00025B12" w:rsidTr="00C545F3">
        <w:trPr>
          <w:trHeight w:val="274"/>
        </w:trPr>
        <w:tc>
          <w:tcPr>
            <w:tcW w:w="9288" w:type="dxa"/>
            <w:gridSpan w:val="5"/>
            <w:shd w:val="clear" w:color="auto" w:fill="663399"/>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C545F3">
        <w:trPr>
          <w:trHeight w:val="1319"/>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A9209D" w:rsidRPr="00025B12" w:rsidRDefault="00A9209D" w:rsidP="00A9209D">
            <w:pPr>
              <w:jc w:val="both"/>
              <w:rPr>
                <w:rFonts w:ascii="Verdana" w:hAnsi="Verdana"/>
                <w:sz w:val="18"/>
                <w:szCs w:val="18"/>
              </w:rPr>
            </w:pPr>
            <w:r w:rsidRPr="00025B12">
              <w:rPr>
                <w:rFonts w:ascii="Verdana" w:hAnsi="Verdana"/>
                <w:sz w:val="18"/>
                <w:szCs w:val="18"/>
              </w:rPr>
              <w:t>Indikátor účast dospělé populace na dalším vzdělávání v posledních čtyřech týdnech je již zavedeným a nejčastěji používaným ukazatelem informujícím o rozsahu účasti na dalším vzdělávání. Je dokonce jedním z evropských benchmarků v rámci strategického rámce Education and Training 2020, cílem je v tomto roce dosáhnout 15% účasti na dalším vzdělávání pro EU jako celek.</w:t>
            </w:r>
          </w:p>
        </w:tc>
      </w:tr>
      <w:tr w:rsidR="00A9209D" w:rsidRPr="00025B12" w:rsidTr="00C545F3">
        <w:trPr>
          <w:trHeight w:val="992"/>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A9209D" w:rsidRPr="00025B12" w:rsidRDefault="00A9209D" w:rsidP="00A9209D">
            <w:pPr>
              <w:jc w:val="both"/>
              <w:rPr>
                <w:rFonts w:ascii="Verdana" w:hAnsi="Verdana"/>
                <w:sz w:val="18"/>
                <w:szCs w:val="18"/>
              </w:rPr>
            </w:pPr>
            <w:r w:rsidRPr="00025B12">
              <w:rPr>
                <w:rFonts w:ascii="Verdana" w:hAnsi="Verdana"/>
                <w:sz w:val="18"/>
                <w:szCs w:val="18"/>
              </w:rPr>
              <w:t>Indikátor je vypočítán jako podíl osob, které se v uplynulých čtyřech týdnech účastnily jakékoli formy dalšího vzdělávání (formálního nebo neformálního), na populaci ve věku 25-64 let a uváděn v %.</w:t>
            </w:r>
          </w:p>
        </w:tc>
      </w:tr>
      <w:tr w:rsidR="00A9209D" w:rsidRPr="00025B12" w:rsidTr="00C545F3">
        <w:trPr>
          <w:trHeight w:val="1053"/>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A9209D" w:rsidRPr="00025B12" w:rsidRDefault="00A9209D" w:rsidP="00A9209D">
            <w:pPr>
              <w:jc w:val="both"/>
              <w:rPr>
                <w:rFonts w:ascii="Verdana" w:hAnsi="Verdana"/>
                <w:sz w:val="18"/>
                <w:szCs w:val="18"/>
              </w:rPr>
            </w:pPr>
            <w:r w:rsidRPr="00025B12">
              <w:rPr>
                <w:rFonts w:ascii="Verdana" w:hAnsi="Verdana"/>
                <w:sz w:val="18"/>
                <w:szCs w:val="18"/>
              </w:rPr>
              <w:t>V mezinárodním srovnání je indikátor přímo publikován na internetových stránkách Eurostatu. Krajské členění veřejně publikováno není, je nutný výpočet z mikrodat. K dispozici jsou dlouhé časové řady, v roce 2004 však došlo ke změně příslušné otázky v dotazníku, proto by bylo vhodné časovou řadu publikovat až od roku 2004 dále.</w:t>
            </w:r>
          </w:p>
        </w:tc>
      </w:tr>
      <w:tr w:rsidR="00A9209D" w:rsidRPr="00025B12" w:rsidTr="00C545F3">
        <w:trPr>
          <w:trHeight w:val="837"/>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A9209D" w:rsidRPr="00025B12" w:rsidRDefault="00A9209D" w:rsidP="00A9209D">
            <w:pPr>
              <w:jc w:val="both"/>
              <w:rPr>
                <w:rFonts w:ascii="Verdana" w:hAnsi="Verdana"/>
                <w:sz w:val="18"/>
                <w:szCs w:val="18"/>
              </w:rPr>
            </w:pPr>
            <w:r w:rsidRPr="00025B12">
              <w:rPr>
                <w:rFonts w:ascii="Verdana" w:hAnsi="Verdana"/>
                <w:sz w:val="18"/>
                <w:szCs w:val="18"/>
              </w:rPr>
              <w:t>-</w:t>
            </w:r>
          </w:p>
        </w:tc>
      </w:tr>
    </w:tbl>
    <w:p w:rsidR="00A9209D" w:rsidRPr="00025B12" w:rsidRDefault="00A9209D" w:rsidP="00A9209D"/>
    <w:p w:rsidR="00A9209D" w:rsidRPr="00025B12" w:rsidRDefault="00A9209D" w:rsidP="00A9209D">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58"/>
        <w:gridCol w:w="2303"/>
        <w:gridCol w:w="2126"/>
        <w:gridCol w:w="1749"/>
      </w:tblGrid>
      <w:tr w:rsidR="00A9209D" w:rsidRPr="00025B12" w:rsidTr="00C545F3">
        <w:trPr>
          <w:trHeight w:val="425"/>
        </w:trPr>
        <w:tc>
          <w:tcPr>
            <w:tcW w:w="1452" w:type="dxa"/>
            <w:tcBorders>
              <w:bottom w:val="single" w:sz="4" w:space="0" w:color="auto"/>
              <w:right w:val="single" w:sz="4" w:space="0" w:color="auto"/>
            </w:tcBorders>
            <w:shd w:val="clear" w:color="auto" w:fill="663399"/>
            <w:vAlign w:val="center"/>
          </w:tcPr>
          <w:p w:rsidR="00A9209D" w:rsidRPr="00025B12" w:rsidRDefault="00A9209D" w:rsidP="00A9209D">
            <w:pPr>
              <w:pStyle w:val="Kd"/>
              <w:rPr>
                <w:sz w:val="18"/>
                <w:szCs w:val="18"/>
              </w:rPr>
            </w:pPr>
            <w:r w:rsidRPr="00025B12">
              <w:rPr>
                <w:sz w:val="18"/>
                <w:szCs w:val="18"/>
              </w:rPr>
              <w:br w:type="page"/>
            </w:r>
            <w:r w:rsidRPr="00025B12">
              <w:rPr>
                <w:sz w:val="18"/>
                <w:szCs w:val="18"/>
              </w:rPr>
              <w:br w:type="page"/>
            </w:r>
            <w:bookmarkStart w:id="114" w:name="IV02"/>
            <w:r w:rsidRPr="00025B12">
              <w:rPr>
                <w:sz w:val="18"/>
                <w:szCs w:val="18"/>
              </w:rPr>
              <w:t>IV.0.</w:t>
            </w:r>
            <w:bookmarkEnd w:id="114"/>
            <w:r w:rsidR="00741F81" w:rsidRPr="00025B12">
              <w:rPr>
                <w:sz w:val="18"/>
                <w:szCs w:val="18"/>
              </w:rPr>
              <w:t>d1</w:t>
            </w:r>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A9209D" w:rsidRPr="00025B12" w:rsidRDefault="00A9209D" w:rsidP="00FF1533">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Účast dospělé populace na vzdělávání v posledních 12 měsících</w:t>
            </w:r>
          </w:p>
        </w:tc>
      </w:tr>
      <w:tr w:rsidR="00A9209D" w:rsidRPr="00025B12" w:rsidTr="00C545F3">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A9209D" w:rsidRPr="00025B12" w:rsidRDefault="00625F3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36" w:type="dxa"/>
            <w:gridSpan w:val="4"/>
            <w:vMerge/>
            <w:tcBorders>
              <w:left w:val="single" w:sz="4" w:space="0" w:color="auto"/>
              <w:bottom w:val="single" w:sz="4" w:space="0" w:color="auto"/>
              <w:right w:val="single"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296FE3">
        <w:trPr>
          <w:trHeight w:val="360"/>
        </w:trPr>
        <w:tc>
          <w:tcPr>
            <w:tcW w:w="1452" w:type="dxa"/>
            <w:tcBorders>
              <w:top w:val="single"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A9209D" w:rsidRPr="00025B12" w:rsidRDefault="00A9209D"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9349B5" w:rsidRPr="00025B12" w:rsidTr="00C545F3">
        <w:trPr>
          <w:trHeight w:val="360"/>
        </w:trPr>
        <w:tc>
          <w:tcPr>
            <w:tcW w:w="1452" w:type="dxa"/>
            <w:tcBorders>
              <w:top w:val="dotted" w:sz="4" w:space="0" w:color="auto"/>
              <w:bottom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9349B5" w:rsidRPr="00025B12" w:rsidRDefault="00665F1D" w:rsidP="00A9209D">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26"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bottom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9349B5" w:rsidRPr="00025B12" w:rsidTr="00C545F3">
        <w:trPr>
          <w:trHeight w:val="360"/>
        </w:trPr>
        <w:tc>
          <w:tcPr>
            <w:tcW w:w="1452" w:type="dxa"/>
            <w:tcBorders>
              <w:top w:val="dotted" w:sz="4" w:space="0" w:color="auto"/>
              <w:bottom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9349B5" w:rsidRPr="00025B12" w:rsidRDefault="00665F1D" w:rsidP="005F2F0A">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bottom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9349B5" w:rsidRPr="00025B12" w:rsidTr="00C545F3">
        <w:trPr>
          <w:trHeight w:val="360"/>
        </w:trPr>
        <w:tc>
          <w:tcPr>
            <w:tcW w:w="1452" w:type="dxa"/>
            <w:tcBorders>
              <w:top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9349B5" w:rsidRPr="00025B12" w:rsidRDefault="00665F1D" w:rsidP="005F2F0A">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03" w:type="dxa"/>
            <w:tcBorders>
              <w:top w:val="dotted" w:sz="4" w:space="0" w:color="auto"/>
              <w:left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A9209D" w:rsidRPr="00025B12" w:rsidTr="00C545F3">
        <w:trPr>
          <w:trHeight w:val="274"/>
        </w:trPr>
        <w:tc>
          <w:tcPr>
            <w:tcW w:w="9288" w:type="dxa"/>
            <w:gridSpan w:val="5"/>
            <w:shd w:val="clear" w:color="auto" w:fill="663399"/>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C545F3">
        <w:trPr>
          <w:trHeight w:val="1319"/>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A9209D" w:rsidRPr="00025B12" w:rsidRDefault="00A9209D" w:rsidP="00A9209D">
            <w:pPr>
              <w:jc w:val="both"/>
              <w:rPr>
                <w:rFonts w:ascii="Verdana" w:hAnsi="Verdana"/>
                <w:sz w:val="18"/>
                <w:szCs w:val="18"/>
              </w:rPr>
            </w:pPr>
            <w:r w:rsidRPr="00025B12">
              <w:rPr>
                <w:rFonts w:ascii="Verdana" w:hAnsi="Verdana"/>
                <w:sz w:val="18"/>
                <w:szCs w:val="18"/>
              </w:rPr>
              <w:t>Účast dospělé populace na dalším vzdělávání v posledních 12 měsících je alternativním indikátorem k indikátoru IV.0.1. V porovnání s ním informuje o účasti na dalším vzdělávání v delším časovém horizontu, dosahuje proto vyšších hodnot. Poskytuje do jisté míry reálnější obraz o účasti populace na dalším vzdělávání, neboť každoroční účast na nějaké formě dalšího vzdělávání je možné považovat za pravidelnou. Naopak nelze předpokládat, že i lidé pravidelně se účastnící dalšího vzdělávání, se ho budou účastnit každý měsíc. Indikátor vztahující se k posledním 12 měsícům je také výhodnější zejména v případě, že se dále pracuje s podrobnějším členěním (například regionálním, ale i ve specifických skupinách), neboť dává statisticky spolehlivější výsledky.</w:t>
            </w:r>
          </w:p>
        </w:tc>
      </w:tr>
      <w:tr w:rsidR="00A9209D" w:rsidRPr="00025B12" w:rsidTr="00C545F3">
        <w:trPr>
          <w:trHeight w:val="992"/>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A9209D" w:rsidRPr="00025B12" w:rsidRDefault="00A9209D" w:rsidP="00A9209D">
            <w:pPr>
              <w:jc w:val="both"/>
              <w:rPr>
                <w:rFonts w:ascii="Verdana" w:hAnsi="Verdana"/>
                <w:sz w:val="18"/>
                <w:szCs w:val="18"/>
              </w:rPr>
            </w:pPr>
            <w:r w:rsidRPr="00025B12">
              <w:rPr>
                <w:rFonts w:ascii="Verdana" w:hAnsi="Verdana"/>
                <w:sz w:val="18"/>
                <w:szCs w:val="18"/>
              </w:rPr>
              <w:t>Indikátor je vypočítán jako podíl osob, které se v uplynulých 12 měsících účastnily jakékoli formy dalšího vzdělávání (formálního nebo neformálního), na populaci ve věku 25-64 let a uváděn v %.</w:t>
            </w:r>
          </w:p>
        </w:tc>
      </w:tr>
      <w:tr w:rsidR="00A9209D" w:rsidRPr="00025B12" w:rsidTr="00C545F3">
        <w:trPr>
          <w:trHeight w:val="1053"/>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A9209D" w:rsidRPr="00025B12" w:rsidRDefault="00A9209D" w:rsidP="00A9209D">
            <w:pPr>
              <w:jc w:val="both"/>
              <w:rPr>
                <w:rFonts w:ascii="Verdana" w:hAnsi="Verdana"/>
                <w:sz w:val="18"/>
                <w:szCs w:val="18"/>
              </w:rPr>
            </w:pPr>
            <w:r w:rsidRPr="00025B12">
              <w:rPr>
                <w:rFonts w:ascii="Verdana" w:hAnsi="Verdana"/>
                <w:sz w:val="18"/>
                <w:szCs w:val="18"/>
              </w:rPr>
              <w:t>V mezinárodním srovnání je indikátor pocházející z AES přímo publikován na internetových stránkách Eurostatu. Krajské členění veřejně publikováno není, je nutný výpočet z mikrodat. Těmito mikrodaty v současné době zpracovatel nedisponuje, proto v</w:t>
            </w:r>
            <w:r w:rsidR="00326A86" w:rsidRPr="00025B12">
              <w:rPr>
                <w:rFonts w:ascii="Verdana" w:hAnsi="Verdana"/>
                <w:sz w:val="18"/>
                <w:szCs w:val="18"/>
              </w:rPr>
              <w:t> </w:t>
            </w:r>
            <w:r w:rsidRPr="00025B12">
              <w:rPr>
                <w:rFonts w:ascii="Verdana" w:hAnsi="Verdana"/>
                <w:sz w:val="18"/>
                <w:szCs w:val="18"/>
              </w:rPr>
              <w:t>příloze</w:t>
            </w:r>
            <w:r w:rsidR="00326A86" w:rsidRPr="00025B12">
              <w:rPr>
                <w:rFonts w:ascii="Verdana" w:hAnsi="Verdana"/>
                <w:sz w:val="18"/>
                <w:szCs w:val="18"/>
              </w:rPr>
              <w:t xml:space="preserve"> 4</w:t>
            </w:r>
            <w:r w:rsidRPr="00025B12">
              <w:rPr>
                <w:rFonts w:ascii="Verdana" w:hAnsi="Verdana"/>
                <w:sz w:val="18"/>
                <w:szCs w:val="18"/>
              </w:rPr>
              <w:t xml:space="preserve"> krajská data pro indikátor nejsou obsažena.</w:t>
            </w:r>
          </w:p>
        </w:tc>
      </w:tr>
      <w:tr w:rsidR="00A9209D" w:rsidRPr="00025B12" w:rsidTr="00C545F3">
        <w:trPr>
          <w:trHeight w:val="837"/>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A9209D" w:rsidRPr="00025B12" w:rsidRDefault="00A9209D" w:rsidP="00A9209D">
            <w:pPr>
              <w:jc w:val="both"/>
              <w:rPr>
                <w:rFonts w:ascii="Verdana" w:hAnsi="Verdana"/>
                <w:sz w:val="18"/>
                <w:szCs w:val="18"/>
              </w:rPr>
            </w:pPr>
            <w:r w:rsidRPr="00025B12">
              <w:rPr>
                <w:rFonts w:ascii="Verdana" w:hAnsi="Verdana"/>
                <w:sz w:val="18"/>
                <w:szCs w:val="18"/>
              </w:rPr>
              <w:t>V současné době je však velkou nevýhodou tohoto indikátoru, že zdrojem dat pro něj je šetření AES, které bylo zatím realizováno pouze jednou a v budoucnu by mělo být realizováno v pětiletých intervalech, což neposkytuje dostatečné časové řady, které je důležité u základního indikátoru mít. V průběhu roku 2011 budou nicméně pilotovány nové otázky do Výběrového šetření pracovních sil, které by měly právě tento indikátor začlenit. V minulosti byla otázka vztahující se k posledním 12 měsícům i v Ad-hoc modulu k Výběrovému šetření pracovních sil, ale jeho metodika nebyla s AES plně srovnatelná.</w:t>
            </w:r>
          </w:p>
        </w:tc>
      </w:tr>
    </w:tbl>
    <w:p w:rsidR="00A9209D" w:rsidRPr="00025B12" w:rsidRDefault="00A9209D" w:rsidP="00A9209D"/>
    <w:p w:rsidR="00C43089" w:rsidRPr="00025B12" w:rsidRDefault="00C43089" w:rsidP="004C030B">
      <w:pPr>
        <w:jc w:val="both"/>
        <w:rPr>
          <w:rFonts w:ascii="Verdana" w:hAnsi="Verdana"/>
          <w:sz w:val="20"/>
          <w:szCs w:val="20"/>
        </w:rPr>
      </w:pPr>
    </w:p>
    <w:p w:rsidR="00C43089" w:rsidRPr="00025B12" w:rsidRDefault="00C43089" w:rsidP="00C43089">
      <w:pPr>
        <w:jc w:val="both"/>
        <w:rPr>
          <w:rFonts w:ascii="Verdana" w:hAnsi="Verdana"/>
          <w:sz w:val="20"/>
          <w:szCs w:val="20"/>
        </w:rPr>
      </w:pPr>
    </w:p>
    <w:p w:rsidR="00C43089" w:rsidRPr="00025B12" w:rsidRDefault="00A9209D" w:rsidP="000C6631">
      <w:pPr>
        <w:outlineLvl w:val="0"/>
        <w:rPr>
          <w:rFonts w:ascii="Verdana" w:hAnsi="Verdana"/>
          <w:b/>
          <w:sz w:val="24"/>
          <w:szCs w:val="24"/>
        </w:rPr>
      </w:pPr>
      <w:r w:rsidRPr="00025B12">
        <w:rPr>
          <w:rFonts w:ascii="Verdana" w:hAnsi="Verdana"/>
          <w:b/>
          <w:sz w:val="24"/>
          <w:szCs w:val="24"/>
        </w:rPr>
        <w:br w:type="page"/>
      </w:r>
      <w:r w:rsidR="00C43089" w:rsidRPr="00025B12">
        <w:rPr>
          <w:rFonts w:ascii="Verdana" w:hAnsi="Verdana"/>
          <w:b/>
          <w:sz w:val="24"/>
          <w:szCs w:val="24"/>
        </w:rPr>
        <w:lastRenderedPageBreak/>
        <w:t>IV. 1 Účast jednotlivců na formálním vzdělávání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1741"/>
        <w:gridCol w:w="2280"/>
        <w:gridCol w:w="2101"/>
        <w:gridCol w:w="1723"/>
      </w:tblGrid>
      <w:tr w:rsidR="00292266" w:rsidRPr="00025B12" w:rsidTr="00D131AA">
        <w:trPr>
          <w:trHeight w:val="425"/>
        </w:trPr>
        <w:tc>
          <w:tcPr>
            <w:tcW w:w="1443" w:type="dxa"/>
            <w:tcBorders>
              <w:bottom w:val="single" w:sz="4" w:space="0" w:color="auto"/>
              <w:right w:val="single" w:sz="4" w:space="0" w:color="auto"/>
            </w:tcBorders>
            <w:shd w:val="clear" w:color="auto" w:fill="663399"/>
            <w:vAlign w:val="center"/>
          </w:tcPr>
          <w:p w:rsidR="00292266" w:rsidRPr="00025B12" w:rsidRDefault="00292266" w:rsidP="00D131AA">
            <w:pPr>
              <w:pStyle w:val="Kd"/>
              <w:rPr>
                <w:sz w:val="18"/>
                <w:szCs w:val="18"/>
              </w:rPr>
            </w:pPr>
            <w:bookmarkStart w:id="115" w:name="IV14" w:colFirst="0" w:colLast="1"/>
            <w:r w:rsidRPr="00025B12">
              <w:rPr>
                <w:sz w:val="18"/>
                <w:szCs w:val="18"/>
              </w:rPr>
              <w:br w:type="page"/>
            </w:r>
            <w:r w:rsidRPr="00025B12">
              <w:rPr>
                <w:sz w:val="18"/>
                <w:szCs w:val="18"/>
              </w:rPr>
              <w:br w:type="page"/>
              <w:t>IV.1.1</w:t>
            </w:r>
          </w:p>
        </w:tc>
        <w:tc>
          <w:tcPr>
            <w:tcW w:w="7845" w:type="dxa"/>
            <w:gridSpan w:val="4"/>
            <w:vMerge w:val="restart"/>
            <w:tcBorders>
              <w:top w:val="single" w:sz="4" w:space="0" w:color="auto"/>
              <w:left w:val="single" w:sz="4" w:space="0" w:color="auto"/>
              <w:right w:val="single" w:sz="4" w:space="0" w:color="auto"/>
            </w:tcBorders>
            <w:shd w:val="clear" w:color="auto" w:fill="663399"/>
            <w:vAlign w:val="center"/>
          </w:tcPr>
          <w:p w:rsidR="00292266" w:rsidRPr="00025B12" w:rsidRDefault="00292266"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Účast v dálkových formách studia na různých vzdělávacích stupních</w:t>
            </w:r>
          </w:p>
        </w:tc>
      </w:tr>
      <w:bookmarkEnd w:id="115"/>
      <w:tr w:rsidR="00292266" w:rsidRPr="00025B12" w:rsidTr="00D131AA">
        <w:trPr>
          <w:trHeight w:val="360"/>
        </w:trPr>
        <w:tc>
          <w:tcPr>
            <w:tcW w:w="1443" w:type="dxa"/>
            <w:tcBorders>
              <w:top w:val="single" w:sz="4" w:space="0" w:color="auto"/>
              <w:bottom w:val="single" w:sz="4" w:space="0" w:color="auto"/>
              <w:right w:val="single" w:sz="4" w:space="0" w:color="auto"/>
            </w:tcBorders>
            <w:shd w:val="clear" w:color="auto" w:fill="663399"/>
            <w:vAlign w:val="center"/>
          </w:tcPr>
          <w:p w:rsidR="00292266" w:rsidRPr="00025B12" w:rsidRDefault="00292266"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45" w:type="dxa"/>
            <w:gridSpan w:val="4"/>
            <w:vMerge/>
            <w:tcBorders>
              <w:left w:val="single" w:sz="4" w:space="0" w:color="auto"/>
              <w:bottom w:val="single" w:sz="4" w:space="0" w:color="auto"/>
              <w:right w:val="single" w:sz="4" w:space="0" w:color="auto"/>
            </w:tcBorders>
            <w:vAlign w:val="center"/>
          </w:tcPr>
          <w:p w:rsidR="00292266" w:rsidRPr="00025B12" w:rsidRDefault="00292266" w:rsidP="00D131AA">
            <w:pPr>
              <w:spacing w:after="0" w:line="240" w:lineRule="auto"/>
              <w:jc w:val="center"/>
              <w:rPr>
                <w:rFonts w:ascii="Verdana" w:eastAsiaTheme="minorHAnsi" w:hAnsi="Verdana" w:cstheme="minorBidi"/>
                <w:sz w:val="18"/>
                <w:szCs w:val="18"/>
              </w:rPr>
            </w:pPr>
          </w:p>
        </w:tc>
      </w:tr>
      <w:tr w:rsidR="00292266" w:rsidRPr="00025B12" w:rsidTr="00296FE3">
        <w:trPr>
          <w:trHeight w:val="360"/>
        </w:trPr>
        <w:tc>
          <w:tcPr>
            <w:tcW w:w="1443" w:type="dxa"/>
            <w:tcBorders>
              <w:top w:val="single" w:sz="4" w:space="0" w:color="auto"/>
              <w:bottom w:val="dotted" w:sz="4" w:space="0" w:color="auto"/>
              <w:right w:val="dotted" w:sz="4" w:space="0" w:color="auto"/>
            </w:tcBorders>
          </w:tcPr>
          <w:p w:rsidR="00292266" w:rsidRPr="00025B12" w:rsidRDefault="00292266" w:rsidP="00D131AA">
            <w:pPr>
              <w:spacing w:after="0" w:line="240" w:lineRule="auto"/>
              <w:jc w:val="center"/>
              <w:rPr>
                <w:rFonts w:ascii="Verdana" w:eastAsiaTheme="minorHAnsi" w:hAnsi="Verdana" w:cstheme="minorBidi"/>
                <w:sz w:val="18"/>
                <w:szCs w:val="18"/>
              </w:rPr>
            </w:pPr>
          </w:p>
        </w:tc>
        <w:tc>
          <w:tcPr>
            <w:tcW w:w="1741" w:type="dxa"/>
            <w:tcBorders>
              <w:top w:val="single" w:sz="4" w:space="0" w:color="auto"/>
              <w:left w:val="dotted" w:sz="4" w:space="0" w:color="auto"/>
              <w:bottom w:val="dotted" w:sz="4" w:space="0" w:color="auto"/>
              <w:right w:val="dotted" w:sz="4" w:space="0" w:color="auto"/>
            </w:tcBorders>
            <w:vAlign w:val="center"/>
          </w:tcPr>
          <w:p w:rsidR="00292266" w:rsidRPr="00025B12" w:rsidRDefault="00292266"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80" w:type="dxa"/>
            <w:tcBorders>
              <w:top w:val="single" w:sz="4" w:space="0" w:color="auto"/>
              <w:left w:val="dotted" w:sz="4" w:space="0" w:color="auto"/>
              <w:bottom w:val="dotted" w:sz="4" w:space="0" w:color="auto"/>
              <w:right w:val="dotted" w:sz="4" w:space="0" w:color="auto"/>
            </w:tcBorders>
            <w:vAlign w:val="center"/>
          </w:tcPr>
          <w:p w:rsidR="00292266" w:rsidRPr="00025B12" w:rsidRDefault="00292266"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01" w:type="dxa"/>
            <w:tcBorders>
              <w:top w:val="single" w:sz="4" w:space="0" w:color="auto"/>
              <w:left w:val="dotted" w:sz="4" w:space="0" w:color="auto"/>
              <w:bottom w:val="dotted" w:sz="4" w:space="0" w:color="auto"/>
              <w:right w:val="dotted" w:sz="4" w:space="0" w:color="auto"/>
            </w:tcBorders>
            <w:vAlign w:val="center"/>
          </w:tcPr>
          <w:p w:rsidR="00292266" w:rsidRPr="00025B12" w:rsidRDefault="00292266"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23" w:type="dxa"/>
            <w:tcBorders>
              <w:top w:val="single" w:sz="4" w:space="0" w:color="auto"/>
              <w:left w:val="dotted" w:sz="4" w:space="0" w:color="auto"/>
              <w:bottom w:val="dotted" w:sz="4" w:space="0" w:color="auto"/>
            </w:tcBorders>
            <w:vAlign w:val="center"/>
          </w:tcPr>
          <w:p w:rsidR="00292266" w:rsidRPr="00025B12" w:rsidRDefault="00292266"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292266" w:rsidRPr="00025B12" w:rsidTr="00D131AA">
        <w:trPr>
          <w:trHeight w:val="360"/>
        </w:trPr>
        <w:tc>
          <w:tcPr>
            <w:tcW w:w="1443" w:type="dxa"/>
            <w:tcBorders>
              <w:top w:val="dotted" w:sz="4" w:space="0" w:color="auto"/>
              <w:bottom w:val="dotted" w:sz="4" w:space="0" w:color="auto"/>
              <w:right w:val="dotted" w:sz="4" w:space="0" w:color="auto"/>
            </w:tcBorders>
          </w:tcPr>
          <w:p w:rsidR="00292266" w:rsidRPr="00025B12" w:rsidRDefault="00292266"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741" w:type="dxa"/>
            <w:tcBorders>
              <w:top w:val="dotted" w:sz="4" w:space="0" w:color="auto"/>
              <w:left w:val="dotted" w:sz="4" w:space="0" w:color="auto"/>
              <w:bottom w:val="dotted" w:sz="4" w:space="0" w:color="auto"/>
              <w:right w:val="dotted" w:sz="4" w:space="0" w:color="auto"/>
            </w:tcBorders>
            <w:vAlign w:val="center"/>
          </w:tcPr>
          <w:p w:rsidR="00292266" w:rsidRPr="00025B12" w:rsidRDefault="00292266"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80" w:type="dxa"/>
            <w:tcBorders>
              <w:top w:val="dotted" w:sz="4" w:space="0" w:color="auto"/>
              <w:left w:val="dotted" w:sz="4" w:space="0" w:color="auto"/>
              <w:bottom w:val="dotted" w:sz="4" w:space="0" w:color="auto"/>
              <w:right w:val="dotted" w:sz="4" w:space="0" w:color="auto"/>
            </w:tcBorders>
            <w:vAlign w:val="center"/>
          </w:tcPr>
          <w:p w:rsidR="00292266" w:rsidRPr="00025B12" w:rsidRDefault="00292266"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01" w:type="dxa"/>
            <w:tcBorders>
              <w:top w:val="dotted" w:sz="4" w:space="0" w:color="auto"/>
              <w:left w:val="dotted" w:sz="4" w:space="0" w:color="auto"/>
              <w:bottom w:val="dotted" w:sz="4" w:space="0" w:color="auto"/>
              <w:right w:val="dotted" w:sz="4" w:space="0" w:color="auto"/>
            </w:tcBorders>
            <w:vAlign w:val="center"/>
          </w:tcPr>
          <w:p w:rsidR="00292266" w:rsidRPr="00025B12" w:rsidRDefault="00292266"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23" w:type="dxa"/>
            <w:tcBorders>
              <w:top w:val="dotted" w:sz="4" w:space="0" w:color="auto"/>
              <w:left w:val="dotted" w:sz="4" w:space="0" w:color="auto"/>
              <w:bottom w:val="dotted" w:sz="4" w:space="0" w:color="auto"/>
            </w:tcBorders>
          </w:tcPr>
          <w:p w:rsidR="00292266" w:rsidRPr="00025B12" w:rsidRDefault="00292266" w:rsidP="00D131AA">
            <w:pPr>
              <w:spacing w:after="0" w:line="240" w:lineRule="auto"/>
              <w:jc w:val="center"/>
              <w:rPr>
                <w:rFonts w:ascii="Verdana" w:eastAsiaTheme="minorHAnsi" w:hAnsi="Verdana" w:cstheme="minorBidi"/>
                <w:sz w:val="18"/>
                <w:szCs w:val="18"/>
              </w:rPr>
            </w:pPr>
          </w:p>
        </w:tc>
      </w:tr>
      <w:tr w:rsidR="00292266" w:rsidRPr="00025B12" w:rsidTr="00D131AA">
        <w:trPr>
          <w:trHeight w:val="360"/>
        </w:trPr>
        <w:tc>
          <w:tcPr>
            <w:tcW w:w="1443" w:type="dxa"/>
            <w:tcBorders>
              <w:top w:val="dotted" w:sz="4" w:space="0" w:color="auto"/>
              <w:bottom w:val="dotted" w:sz="4" w:space="0" w:color="auto"/>
              <w:right w:val="dotted" w:sz="4" w:space="0" w:color="auto"/>
            </w:tcBorders>
          </w:tcPr>
          <w:p w:rsidR="00292266" w:rsidRPr="00025B12" w:rsidRDefault="00292266"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741" w:type="dxa"/>
            <w:tcBorders>
              <w:top w:val="dotted" w:sz="4" w:space="0" w:color="auto"/>
              <w:left w:val="dotted" w:sz="4" w:space="0" w:color="auto"/>
              <w:bottom w:val="dotted" w:sz="4" w:space="0" w:color="auto"/>
              <w:right w:val="dotted" w:sz="4" w:space="0" w:color="auto"/>
            </w:tcBorders>
            <w:vAlign w:val="center"/>
          </w:tcPr>
          <w:p w:rsidR="00292266" w:rsidRPr="00025B12" w:rsidRDefault="00665F1D" w:rsidP="00D131AA">
            <w:pPr>
              <w:spacing w:after="0" w:line="240" w:lineRule="auto"/>
              <w:jc w:val="center"/>
              <w:rPr>
                <w:rFonts w:ascii="Verdana" w:eastAsiaTheme="minorHAnsi" w:hAnsi="Verdana" w:cstheme="minorBidi"/>
                <w:sz w:val="18"/>
                <w:szCs w:val="18"/>
              </w:rPr>
            </w:pPr>
            <w:hyperlink w:anchor="Databáze_UIV" w:history="1">
              <w:r w:rsidR="00292266" w:rsidRPr="00025B12">
                <w:rPr>
                  <w:rStyle w:val="Hypertextovodkaz"/>
                  <w:rFonts w:ascii="Verdana" w:eastAsiaTheme="minorHAnsi" w:hAnsi="Verdana" w:cstheme="minorBidi"/>
                  <w:sz w:val="18"/>
                  <w:szCs w:val="18"/>
                </w:rPr>
                <w:t>Databáze ÚIV</w:t>
              </w:r>
            </w:hyperlink>
          </w:p>
        </w:tc>
        <w:tc>
          <w:tcPr>
            <w:tcW w:w="2280" w:type="dxa"/>
            <w:tcBorders>
              <w:top w:val="dotted" w:sz="4" w:space="0" w:color="auto"/>
              <w:left w:val="dotted" w:sz="4" w:space="0" w:color="auto"/>
              <w:bottom w:val="dotted" w:sz="4" w:space="0" w:color="auto"/>
              <w:right w:val="dotted" w:sz="4" w:space="0" w:color="auto"/>
            </w:tcBorders>
            <w:vAlign w:val="center"/>
          </w:tcPr>
          <w:p w:rsidR="00292266" w:rsidRPr="00025B12" w:rsidRDefault="00292266"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ÚIV</w:t>
            </w:r>
          </w:p>
        </w:tc>
        <w:tc>
          <w:tcPr>
            <w:tcW w:w="2101" w:type="dxa"/>
            <w:tcBorders>
              <w:top w:val="dotted" w:sz="4" w:space="0" w:color="auto"/>
              <w:left w:val="dotted" w:sz="4" w:space="0" w:color="auto"/>
              <w:bottom w:val="dotted" w:sz="4" w:space="0" w:color="auto"/>
              <w:right w:val="dotted" w:sz="4" w:space="0" w:color="auto"/>
            </w:tcBorders>
            <w:vAlign w:val="center"/>
          </w:tcPr>
          <w:p w:rsidR="00292266" w:rsidRPr="00025B12" w:rsidRDefault="00292266"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 xml:space="preserve">1 rok </w:t>
            </w:r>
          </w:p>
        </w:tc>
        <w:tc>
          <w:tcPr>
            <w:tcW w:w="1723" w:type="dxa"/>
            <w:tcBorders>
              <w:top w:val="dotted" w:sz="4" w:space="0" w:color="auto"/>
              <w:left w:val="dotted" w:sz="4" w:space="0" w:color="auto"/>
              <w:bottom w:val="dotted" w:sz="4" w:space="0" w:color="auto"/>
            </w:tcBorders>
          </w:tcPr>
          <w:p w:rsidR="00292266" w:rsidRPr="00025B12" w:rsidRDefault="00BD18A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Min. od 2003</w:t>
            </w:r>
          </w:p>
        </w:tc>
      </w:tr>
      <w:tr w:rsidR="00292266" w:rsidRPr="00025B12" w:rsidTr="00D131AA">
        <w:trPr>
          <w:trHeight w:val="360"/>
        </w:trPr>
        <w:tc>
          <w:tcPr>
            <w:tcW w:w="1443" w:type="dxa"/>
            <w:tcBorders>
              <w:top w:val="dotted" w:sz="4" w:space="0" w:color="auto"/>
              <w:right w:val="dotted" w:sz="4" w:space="0" w:color="auto"/>
            </w:tcBorders>
          </w:tcPr>
          <w:p w:rsidR="00292266" w:rsidRPr="00025B12" w:rsidRDefault="00292266"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741" w:type="dxa"/>
            <w:tcBorders>
              <w:top w:val="dotted" w:sz="4" w:space="0" w:color="auto"/>
              <w:left w:val="dotted" w:sz="4" w:space="0" w:color="auto"/>
              <w:right w:val="dotted" w:sz="4" w:space="0" w:color="auto"/>
            </w:tcBorders>
            <w:vAlign w:val="center"/>
          </w:tcPr>
          <w:p w:rsidR="00292266" w:rsidRPr="00025B12" w:rsidRDefault="00665F1D" w:rsidP="00D131AA">
            <w:pPr>
              <w:spacing w:after="0" w:line="240" w:lineRule="auto"/>
              <w:jc w:val="center"/>
              <w:rPr>
                <w:rFonts w:ascii="Verdana" w:eastAsiaTheme="minorHAnsi" w:hAnsi="Verdana" w:cstheme="minorBidi"/>
                <w:sz w:val="18"/>
                <w:szCs w:val="18"/>
              </w:rPr>
            </w:pPr>
            <w:hyperlink w:anchor="Databáze_UIV" w:history="1">
              <w:r w:rsidR="00292266" w:rsidRPr="00025B12">
                <w:rPr>
                  <w:rStyle w:val="Hypertextovodkaz"/>
                  <w:rFonts w:ascii="Verdana" w:eastAsiaTheme="minorHAnsi" w:hAnsi="Verdana" w:cstheme="minorBidi"/>
                  <w:sz w:val="18"/>
                  <w:szCs w:val="18"/>
                </w:rPr>
                <w:t>Databáze ÚIV</w:t>
              </w:r>
            </w:hyperlink>
          </w:p>
        </w:tc>
        <w:tc>
          <w:tcPr>
            <w:tcW w:w="2280" w:type="dxa"/>
            <w:tcBorders>
              <w:top w:val="dotted" w:sz="4" w:space="0" w:color="auto"/>
              <w:left w:val="dotted" w:sz="4" w:space="0" w:color="auto"/>
              <w:right w:val="dotted" w:sz="4" w:space="0" w:color="auto"/>
            </w:tcBorders>
            <w:vAlign w:val="center"/>
          </w:tcPr>
          <w:p w:rsidR="00292266" w:rsidRPr="00025B12" w:rsidRDefault="00292266"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ÚIV</w:t>
            </w:r>
          </w:p>
        </w:tc>
        <w:tc>
          <w:tcPr>
            <w:tcW w:w="2101" w:type="dxa"/>
            <w:tcBorders>
              <w:top w:val="dotted" w:sz="4" w:space="0" w:color="auto"/>
              <w:left w:val="dotted" w:sz="4" w:space="0" w:color="auto"/>
              <w:right w:val="dotted" w:sz="4" w:space="0" w:color="auto"/>
            </w:tcBorders>
            <w:vAlign w:val="center"/>
          </w:tcPr>
          <w:p w:rsidR="00292266" w:rsidRPr="00025B12" w:rsidRDefault="00292266"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 xml:space="preserve">1 rok </w:t>
            </w:r>
          </w:p>
        </w:tc>
        <w:tc>
          <w:tcPr>
            <w:tcW w:w="1723" w:type="dxa"/>
            <w:tcBorders>
              <w:top w:val="dotted" w:sz="4" w:space="0" w:color="auto"/>
              <w:left w:val="dotted" w:sz="4" w:space="0" w:color="auto"/>
            </w:tcBorders>
          </w:tcPr>
          <w:p w:rsidR="00292266" w:rsidRPr="00025B12" w:rsidRDefault="00BD18A0"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Min. od 2003</w:t>
            </w:r>
          </w:p>
        </w:tc>
      </w:tr>
      <w:tr w:rsidR="00292266" w:rsidRPr="00025B12" w:rsidTr="00D131AA">
        <w:trPr>
          <w:trHeight w:val="274"/>
        </w:trPr>
        <w:tc>
          <w:tcPr>
            <w:tcW w:w="9288" w:type="dxa"/>
            <w:gridSpan w:val="5"/>
            <w:shd w:val="clear" w:color="auto" w:fill="663399"/>
          </w:tcPr>
          <w:p w:rsidR="00292266" w:rsidRPr="00025B12" w:rsidRDefault="00292266" w:rsidP="00D131AA">
            <w:pPr>
              <w:spacing w:after="0" w:line="240" w:lineRule="auto"/>
              <w:jc w:val="center"/>
              <w:rPr>
                <w:rFonts w:ascii="Verdana" w:eastAsiaTheme="minorHAnsi" w:hAnsi="Verdana" w:cstheme="minorBidi"/>
                <w:sz w:val="18"/>
                <w:szCs w:val="18"/>
              </w:rPr>
            </w:pPr>
          </w:p>
        </w:tc>
      </w:tr>
      <w:tr w:rsidR="00292266" w:rsidRPr="00025B12" w:rsidTr="001B291A">
        <w:trPr>
          <w:trHeight w:val="768"/>
        </w:trPr>
        <w:tc>
          <w:tcPr>
            <w:tcW w:w="9288" w:type="dxa"/>
            <w:gridSpan w:val="5"/>
          </w:tcPr>
          <w:p w:rsidR="00292266" w:rsidRPr="00025B12" w:rsidRDefault="00292266"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292266" w:rsidRPr="00025B12" w:rsidRDefault="00292266" w:rsidP="001B291A">
            <w:pPr>
              <w:spacing w:after="0" w:line="240" w:lineRule="auto"/>
              <w:jc w:val="both"/>
              <w:rPr>
                <w:rFonts w:ascii="Verdana" w:hAnsi="Verdana"/>
                <w:spacing w:val="-6"/>
                <w:sz w:val="18"/>
                <w:szCs w:val="18"/>
              </w:rPr>
            </w:pPr>
            <w:r w:rsidRPr="00025B12">
              <w:rPr>
                <w:rFonts w:ascii="Verdana" w:hAnsi="Verdana"/>
                <w:spacing w:val="-6"/>
                <w:sz w:val="18"/>
                <w:szCs w:val="18"/>
              </w:rPr>
              <w:t>Indikátor se snaží jiným způsobem odhalit míru účasti dospělé populace v dalším formálním vzdělávání.</w:t>
            </w:r>
          </w:p>
        </w:tc>
      </w:tr>
      <w:tr w:rsidR="00292266" w:rsidRPr="00025B12" w:rsidTr="00D131AA">
        <w:trPr>
          <w:trHeight w:val="992"/>
        </w:trPr>
        <w:tc>
          <w:tcPr>
            <w:tcW w:w="9288" w:type="dxa"/>
            <w:gridSpan w:val="5"/>
          </w:tcPr>
          <w:p w:rsidR="00292266" w:rsidRPr="00025B12" w:rsidRDefault="00292266"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292266" w:rsidRPr="00025B12" w:rsidRDefault="00292266" w:rsidP="00D131AA">
            <w:pPr>
              <w:spacing w:after="0"/>
              <w:jc w:val="both"/>
              <w:rPr>
                <w:rFonts w:ascii="Verdana" w:hAnsi="Verdana"/>
                <w:spacing w:val="-6"/>
                <w:sz w:val="18"/>
                <w:szCs w:val="18"/>
              </w:rPr>
            </w:pPr>
            <w:r w:rsidRPr="00025B12">
              <w:rPr>
                <w:rFonts w:ascii="Verdana" w:hAnsi="Verdana"/>
                <w:spacing w:val="-6"/>
                <w:sz w:val="18"/>
                <w:szCs w:val="18"/>
              </w:rPr>
              <w:t xml:space="preserve">U formálního vzdělávání je poměrně obtížné na datech rozlišit, zda se jedná o počáteční či další vzdělávání, a je třeba tyto rozdíly nějakým způsobem odhadovat. </w:t>
            </w:r>
            <w:r w:rsidR="000A3C2C" w:rsidRPr="00025B12">
              <w:rPr>
                <w:rFonts w:ascii="Verdana" w:hAnsi="Verdana"/>
                <w:spacing w:val="-6"/>
                <w:sz w:val="18"/>
                <w:szCs w:val="18"/>
              </w:rPr>
              <w:t>Některé indikátory</w:t>
            </w:r>
            <w:r w:rsidRPr="00025B12">
              <w:rPr>
                <w:rFonts w:ascii="Verdana" w:hAnsi="Verdana"/>
                <w:spacing w:val="-6"/>
                <w:sz w:val="18"/>
                <w:szCs w:val="18"/>
              </w:rPr>
              <w:t xml:space="preserve"> odhadují, že se jedná o další vzdělávání na základě věku účastníků v rozmezí 25-64 let. Mohou sem ale spadnout například vysokoškolští studenti, kteří své počáteční vzdělávání mohou dokončovat a</w:t>
            </w:r>
            <w:r w:rsidR="000A3C2C" w:rsidRPr="00025B12">
              <w:rPr>
                <w:rFonts w:ascii="Verdana" w:hAnsi="Verdana"/>
                <w:spacing w:val="-6"/>
                <w:sz w:val="18"/>
                <w:szCs w:val="18"/>
              </w:rPr>
              <w:t xml:space="preserve">ž po 25. roce. Indikátor IV.1.1 </w:t>
            </w:r>
            <w:r w:rsidRPr="00025B12">
              <w:rPr>
                <w:rFonts w:ascii="Verdana" w:hAnsi="Verdana"/>
                <w:spacing w:val="-6"/>
                <w:sz w:val="18"/>
                <w:szCs w:val="18"/>
              </w:rPr>
              <w:t>proto odhaduje, že se jedná o studenty dalšího vzdělávání na základě formy jejich studia. Za další vzdělávání je považováno:</w:t>
            </w:r>
          </w:p>
          <w:p w:rsidR="00292266" w:rsidRPr="00025B12" w:rsidRDefault="00292266" w:rsidP="00D131AA">
            <w:pPr>
              <w:numPr>
                <w:ilvl w:val="0"/>
                <w:numId w:val="5"/>
              </w:numPr>
              <w:spacing w:after="0"/>
              <w:jc w:val="both"/>
              <w:rPr>
                <w:rFonts w:ascii="Verdana" w:hAnsi="Verdana"/>
                <w:spacing w:val="-8"/>
                <w:sz w:val="18"/>
                <w:szCs w:val="18"/>
              </w:rPr>
            </w:pPr>
            <w:r w:rsidRPr="00025B12">
              <w:rPr>
                <w:rFonts w:ascii="Verdana" w:hAnsi="Verdana"/>
                <w:spacing w:val="-8"/>
                <w:sz w:val="18"/>
                <w:szCs w:val="18"/>
              </w:rPr>
              <w:t>Studium v jiných než denních formách studia na středních školách a konzervatořích</w:t>
            </w:r>
          </w:p>
          <w:p w:rsidR="00292266" w:rsidRPr="00025B12" w:rsidRDefault="00292266" w:rsidP="00D131AA">
            <w:pPr>
              <w:numPr>
                <w:ilvl w:val="0"/>
                <w:numId w:val="5"/>
              </w:numPr>
              <w:spacing w:after="0"/>
              <w:jc w:val="both"/>
              <w:rPr>
                <w:rFonts w:ascii="Verdana" w:hAnsi="Verdana"/>
                <w:spacing w:val="-8"/>
                <w:sz w:val="18"/>
                <w:szCs w:val="18"/>
              </w:rPr>
            </w:pPr>
            <w:r w:rsidRPr="00025B12">
              <w:rPr>
                <w:rFonts w:ascii="Verdana" w:hAnsi="Verdana"/>
                <w:spacing w:val="-8"/>
                <w:sz w:val="18"/>
                <w:szCs w:val="18"/>
              </w:rPr>
              <w:t>Studium na vyšších odborných školách v jiných než denních formách studia</w:t>
            </w:r>
          </w:p>
          <w:p w:rsidR="00292266" w:rsidRPr="00025B12" w:rsidRDefault="00292266" w:rsidP="00D131AA">
            <w:pPr>
              <w:numPr>
                <w:ilvl w:val="0"/>
                <w:numId w:val="5"/>
              </w:numPr>
              <w:jc w:val="both"/>
              <w:rPr>
                <w:rFonts w:ascii="Verdana" w:hAnsi="Verdana"/>
                <w:spacing w:val="-8"/>
                <w:sz w:val="18"/>
                <w:szCs w:val="18"/>
              </w:rPr>
            </w:pPr>
            <w:r w:rsidRPr="00025B12">
              <w:rPr>
                <w:rFonts w:ascii="Verdana" w:hAnsi="Verdana"/>
                <w:spacing w:val="-8"/>
                <w:sz w:val="18"/>
                <w:szCs w:val="18"/>
              </w:rPr>
              <w:t>Studium v kombinované a distanční formě na vysokých školách</w:t>
            </w:r>
          </w:p>
          <w:p w:rsidR="00292266" w:rsidRPr="00025B12" w:rsidRDefault="00292266" w:rsidP="001B291A">
            <w:pPr>
              <w:spacing w:after="0"/>
              <w:jc w:val="both"/>
              <w:rPr>
                <w:rFonts w:ascii="Verdana" w:hAnsi="Verdana"/>
                <w:spacing w:val="-8"/>
                <w:sz w:val="18"/>
                <w:szCs w:val="18"/>
              </w:rPr>
            </w:pPr>
            <w:r w:rsidRPr="00025B12">
              <w:rPr>
                <w:rFonts w:ascii="Verdana" w:hAnsi="Verdana"/>
                <w:spacing w:val="-8"/>
                <w:sz w:val="18"/>
                <w:szCs w:val="18"/>
              </w:rPr>
              <w:t>Tyto údaje jsou potom vztahovány k populaci, která si daným stupněm vzdělání může teoreticky zvyšovat kvalifikaci. Indikátor se proto skládá ze dvou částí:</w:t>
            </w:r>
          </w:p>
          <w:p w:rsidR="00292266" w:rsidRPr="00025B12" w:rsidRDefault="00292266" w:rsidP="001B291A">
            <w:pPr>
              <w:numPr>
                <w:ilvl w:val="0"/>
                <w:numId w:val="6"/>
              </w:numPr>
              <w:spacing w:after="0"/>
              <w:ind w:left="714" w:hanging="357"/>
              <w:jc w:val="both"/>
              <w:rPr>
                <w:rFonts w:ascii="Verdana" w:hAnsi="Verdana"/>
                <w:spacing w:val="-8"/>
                <w:sz w:val="18"/>
                <w:szCs w:val="18"/>
              </w:rPr>
            </w:pPr>
            <w:r w:rsidRPr="00025B12">
              <w:rPr>
                <w:rFonts w:ascii="Verdana" w:hAnsi="Verdana"/>
                <w:spacing w:val="-8"/>
                <w:sz w:val="18"/>
                <w:szCs w:val="18"/>
              </w:rPr>
              <w:t>Podíl žáků středních škol v ostatních formách studia na populaci ve věku 25-64 let, která nemá maturitu</w:t>
            </w:r>
          </w:p>
          <w:p w:rsidR="00292266" w:rsidRPr="00025B12" w:rsidRDefault="00292266" w:rsidP="001B291A">
            <w:pPr>
              <w:numPr>
                <w:ilvl w:val="0"/>
                <w:numId w:val="6"/>
              </w:numPr>
              <w:spacing w:after="120"/>
              <w:ind w:left="714" w:hanging="357"/>
              <w:jc w:val="both"/>
              <w:rPr>
                <w:rFonts w:ascii="Verdana" w:hAnsi="Verdana"/>
                <w:spacing w:val="-8"/>
                <w:sz w:val="18"/>
                <w:szCs w:val="18"/>
              </w:rPr>
            </w:pPr>
            <w:r w:rsidRPr="00025B12">
              <w:rPr>
                <w:rFonts w:ascii="Verdana" w:hAnsi="Verdana"/>
                <w:spacing w:val="-8"/>
                <w:sz w:val="18"/>
                <w:szCs w:val="18"/>
              </w:rPr>
              <w:t>Podíl studentů vysokých a vyšších odborných škol v ostatních formách studia na populaci ve věku 25-64, která má středoškolské vzdělání s maturitou</w:t>
            </w:r>
          </w:p>
          <w:p w:rsidR="00292266" w:rsidRPr="00025B12" w:rsidRDefault="00292266" w:rsidP="00D131AA">
            <w:pPr>
              <w:jc w:val="both"/>
              <w:rPr>
                <w:rFonts w:ascii="Verdana" w:hAnsi="Verdana"/>
                <w:sz w:val="18"/>
                <w:szCs w:val="18"/>
              </w:rPr>
            </w:pPr>
            <w:r w:rsidRPr="00025B12">
              <w:rPr>
                <w:rFonts w:ascii="Verdana" w:hAnsi="Verdana"/>
                <w:spacing w:val="-8"/>
                <w:sz w:val="18"/>
                <w:szCs w:val="18"/>
              </w:rPr>
              <w:t>Indikátory by tak měly hodnotit míru zvyšování kvalifikace v dospělém věku na různých stupních. Populace, ke které se počty žáků a studentů vztahují, samozřejmě není dokonale definována. Na úrovni středních škol se může jednat o účast v programech končících výučním listem a k dosažení maturity nedojde, vycházíme ale z toho, že většina dálkového studia směřuje právě k dodělání maturity. Na vysokých školách se naopak mohou účastnit lidé, kteří již nějaký vysokoškolský titul mají. Podíly je proto třeba brát skutečně jen jako indikátory, nikoli jako absolutní informaci, ze které by bylo možné dopočítat budoucí vzdělanostní strukturu.</w:t>
            </w:r>
          </w:p>
        </w:tc>
      </w:tr>
      <w:tr w:rsidR="00292266" w:rsidRPr="00025B12" w:rsidTr="00D131AA">
        <w:trPr>
          <w:trHeight w:val="423"/>
        </w:trPr>
        <w:tc>
          <w:tcPr>
            <w:tcW w:w="9288" w:type="dxa"/>
            <w:gridSpan w:val="5"/>
          </w:tcPr>
          <w:p w:rsidR="00292266" w:rsidRPr="00025B12" w:rsidRDefault="00292266"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292266" w:rsidRPr="00025B12" w:rsidRDefault="00292266" w:rsidP="001B291A">
            <w:pPr>
              <w:spacing w:after="120"/>
              <w:jc w:val="both"/>
              <w:rPr>
                <w:rFonts w:ascii="Verdana" w:hAnsi="Verdana"/>
                <w:spacing w:val="-8"/>
                <w:sz w:val="18"/>
                <w:szCs w:val="18"/>
              </w:rPr>
            </w:pPr>
            <w:r w:rsidRPr="00025B12">
              <w:rPr>
                <w:rFonts w:ascii="Verdana" w:hAnsi="Verdana"/>
                <w:spacing w:val="-8"/>
                <w:sz w:val="18"/>
                <w:szCs w:val="18"/>
              </w:rPr>
              <w:t xml:space="preserve">Na mezinárodní úrovni není tento indikátor k dispozici. Určité přiblížení by mohla poskytnout data z Labour Force Survey, která obsahují údaje o stupni vzdělání, kterého se respondent účastní. Bohužel nejsou výsledky veřejně publikovány. Primární údaje za ČR a kraje vycházejí z administrativních dat Ústavu pro informace ve vzdělávání (ze školské matriky). Pro konkrétní výpočet indikátorů byla však využita publikace ČSÚ „Vývoj lidských zdrojů v krajích - vybrané kapitoly v letech 2000 až 2009“, která obsahovala informace v potřebném členění. Jedná se však o jednorázovou publikaci a pro budoucí výpočty indikátorů bude třeba hledat jiné formy získávání dat. Údaje o populaci v jednotlivých stupních vzdělání pocházejí z Výběrového šetření pracovních sil (výpočet z mikrodat). </w:t>
            </w:r>
          </w:p>
        </w:tc>
      </w:tr>
      <w:tr w:rsidR="00292266" w:rsidRPr="00025B12" w:rsidTr="00D131AA">
        <w:trPr>
          <w:trHeight w:val="837"/>
        </w:trPr>
        <w:tc>
          <w:tcPr>
            <w:tcW w:w="9288" w:type="dxa"/>
            <w:gridSpan w:val="5"/>
          </w:tcPr>
          <w:p w:rsidR="00292266" w:rsidRPr="00025B12" w:rsidRDefault="00292266" w:rsidP="001B291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292266" w:rsidRPr="00025B12" w:rsidRDefault="00292266" w:rsidP="001B291A">
            <w:pPr>
              <w:spacing w:after="120"/>
              <w:jc w:val="both"/>
              <w:rPr>
                <w:rFonts w:ascii="Verdana" w:hAnsi="Verdana"/>
                <w:sz w:val="18"/>
                <w:szCs w:val="18"/>
              </w:rPr>
            </w:pPr>
            <w:r w:rsidRPr="00025B12">
              <w:rPr>
                <w:rFonts w:ascii="Verdana" w:hAnsi="Verdana"/>
                <w:sz w:val="18"/>
                <w:szCs w:val="18"/>
              </w:rPr>
              <w:t>U vysokých škol je poněkud problematické krajské členění a jeho vztah k populaci, data jsou k dispozici podle místa výuky, jsou však vztahovány k populaci, která bydlí ve sledovaném kraji.</w:t>
            </w:r>
          </w:p>
        </w:tc>
      </w:tr>
    </w:tbl>
    <w:p w:rsidR="00292266" w:rsidRPr="00025B12" w:rsidRDefault="00292266" w:rsidP="000C6631">
      <w:pPr>
        <w:outlineLvl w:val="0"/>
        <w:rPr>
          <w:rFonts w:ascii="Verdana" w:hAnsi="Verdana"/>
          <w:b/>
          <w:sz w:val="24"/>
          <w:szCs w:val="24"/>
        </w:rPr>
      </w:pPr>
      <w:r w:rsidRPr="00025B12">
        <w:rPr>
          <w:rFonts w:ascii="Verdana" w:hAnsi="Verdana"/>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684"/>
        <w:gridCol w:w="2295"/>
        <w:gridCol w:w="2118"/>
        <w:gridCol w:w="1740"/>
      </w:tblGrid>
      <w:tr w:rsidR="00A9209D" w:rsidRPr="00025B12" w:rsidTr="00C545F3">
        <w:trPr>
          <w:trHeight w:val="425"/>
        </w:trPr>
        <w:tc>
          <w:tcPr>
            <w:tcW w:w="1451" w:type="dxa"/>
            <w:tcBorders>
              <w:bottom w:val="single" w:sz="4" w:space="0" w:color="auto"/>
              <w:right w:val="single" w:sz="4" w:space="0" w:color="auto"/>
            </w:tcBorders>
            <w:shd w:val="clear" w:color="auto" w:fill="663399"/>
            <w:vAlign w:val="center"/>
          </w:tcPr>
          <w:p w:rsidR="00A9209D" w:rsidRPr="00025B12" w:rsidRDefault="00292266" w:rsidP="00D51D60">
            <w:pPr>
              <w:pStyle w:val="Kd"/>
              <w:rPr>
                <w:sz w:val="18"/>
                <w:szCs w:val="18"/>
              </w:rPr>
            </w:pPr>
            <w:r w:rsidRPr="00025B12">
              <w:rPr>
                <w:sz w:val="18"/>
                <w:szCs w:val="18"/>
              </w:rPr>
              <w:br w:type="page"/>
            </w:r>
            <w:r w:rsidR="00A9209D" w:rsidRPr="00025B12">
              <w:rPr>
                <w:sz w:val="18"/>
                <w:szCs w:val="18"/>
              </w:rPr>
              <w:br w:type="page"/>
            </w:r>
            <w:r w:rsidR="00A9209D" w:rsidRPr="00025B12">
              <w:rPr>
                <w:sz w:val="18"/>
                <w:szCs w:val="18"/>
              </w:rPr>
              <w:br w:type="page"/>
            </w:r>
            <w:bookmarkStart w:id="116" w:name="IV11"/>
            <w:r w:rsidR="00D51D60" w:rsidRPr="00025B12">
              <w:rPr>
                <w:sz w:val="18"/>
                <w:szCs w:val="18"/>
              </w:rPr>
              <w:t>IV.1</w:t>
            </w:r>
            <w:r w:rsidR="00A9209D" w:rsidRPr="00025B12">
              <w:rPr>
                <w:sz w:val="18"/>
                <w:szCs w:val="18"/>
              </w:rPr>
              <w:t>.</w:t>
            </w:r>
            <w:bookmarkEnd w:id="116"/>
            <w:r w:rsidR="00741F81" w:rsidRPr="00025B12">
              <w:rPr>
                <w:sz w:val="18"/>
                <w:szCs w:val="18"/>
              </w:rPr>
              <w:t>d</w:t>
            </w:r>
            <w:r w:rsidR="00D51D60" w:rsidRPr="00025B12">
              <w:rPr>
                <w:sz w:val="18"/>
                <w:szCs w:val="18"/>
              </w:rPr>
              <w:t>1</w:t>
            </w:r>
          </w:p>
        </w:tc>
        <w:tc>
          <w:tcPr>
            <w:tcW w:w="7837" w:type="dxa"/>
            <w:gridSpan w:val="4"/>
            <w:vMerge w:val="restart"/>
            <w:tcBorders>
              <w:top w:val="single" w:sz="4" w:space="0" w:color="auto"/>
              <w:left w:val="single" w:sz="4" w:space="0" w:color="auto"/>
              <w:right w:val="single" w:sz="4" w:space="0" w:color="auto"/>
            </w:tcBorders>
            <w:shd w:val="clear" w:color="auto" w:fill="663399"/>
            <w:vAlign w:val="center"/>
          </w:tcPr>
          <w:p w:rsidR="00A9209D" w:rsidRPr="00025B12" w:rsidRDefault="005306F4" w:rsidP="005306F4">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Účast dospělé populace na</w:t>
            </w:r>
            <w:r w:rsidR="00A9209D" w:rsidRPr="00025B12">
              <w:rPr>
                <w:rFonts w:ascii="Verdana" w:eastAsiaTheme="minorHAnsi" w:hAnsi="Verdana" w:cstheme="minorBidi"/>
                <w:b/>
                <w:color w:val="FFFFFF" w:themeColor="background1"/>
              </w:rPr>
              <w:t xml:space="preserve"> formálním vzdělávání v posledních 12 měsících</w:t>
            </w:r>
          </w:p>
        </w:tc>
      </w:tr>
      <w:tr w:rsidR="00625F38" w:rsidRPr="00025B12" w:rsidTr="00C545F3">
        <w:trPr>
          <w:trHeight w:val="360"/>
        </w:trPr>
        <w:tc>
          <w:tcPr>
            <w:tcW w:w="1451" w:type="dxa"/>
            <w:tcBorders>
              <w:top w:val="single" w:sz="4" w:space="0" w:color="auto"/>
              <w:bottom w:val="single" w:sz="4" w:space="0" w:color="auto"/>
              <w:right w:val="single" w:sz="4" w:space="0" w:color="auto"/>
            </w:tcBorders>
            <w:shd w:val="clear" w:color="auto" w:fill="663399"/>
            <w:vAlign w:val="center"/>
          </w:tcPr>
          <w:p w:rsidR="00625F38" w:rsidRPr="00025B12" w:rsidRDefault="00625F38" w:rsidP="00834CE6">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37" w:type="dxa"/>
            <w:gridSpan w:val="4"/>
            <w:vMerge/>
            <w:tcBorders>
              <w:left w:val="single" w:sz="4" w:space="0" w:color="auto"/>
              <w:bottom w:val="single" w:sz="4" w:space="0" w:color="auto"/>
              <w:right w:val="single" w:sz="4" w:space="0" w:color="auto"/>
            </w:tcBorders>
            <w:vAlign w:val="center"/>
          </w:tcPr>
          <w:p w:rsidR="00625F38" w:rsidRPr="00025B12" w:rsidRDefault="00625F38" w:rsidP="00A9209D">
            <w:pPr>
              <w:spacing w:after="0" w:line="240" w:lineRule="auto"/>
              <w:jc w:val="center"/>
              <w:rPr>
                <w:rFonts w:ascii="Verdana" w:eastAsiaTheme="minorHAnsi" w:hAnsi="Verdana" w:cstheme="minorBidi"/>
                <w:sz w:val="18"/>
                <w:szCs w:val="18"/>
              </w:rPr>
            </w:pPr>
          </w:p>
        </w:tc>
      </w:tr>
      <w:tr w:rsidR="00A9209D" w:rsidRPr="00025B12" w:rsidTr="00296FE3">
        <w:trPr>
          <w:trHeight w:val="360"/>
        </w:trPr>
        <w:tc>
          <w:tcPr>
            <w:tcW w:w="1451" w:type="dxa"/>
            <w:tcBorders>
              <w:top w:val="single"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p>
        </w:tc>
        <w:tc>
          <w:tcPr>
            <w:tcW w:w="1684"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95"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8"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0" w:type="dxa"/>
            <w:tcBorders>
              <w:top w:val="single" w:sz="4" w:space="0" w:color="auto"/>
              <w:left w:val="dotted" w:sz="4" w:space="0" w:color="auto"/>
              <w:bottom w:val="dotted" w:sz="4" w:space="0" w:color="auto"/>
            </w:tcBorders>
            <w:vAlign w:val="center"/>
          </w:tcPr>
          <w:p w:rsidR="00A9209D" w:rsidRPr="00025B12" w:rsidRDefault="00A9209D"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0428AB" w:rsidRPr="00025B12" w:rsidTr="00B90FDC">
        <w:trPr>
          <w:trHeight w:val="360"/>
        </w:trPr>
        <w:tc>
          <w:tcPr>
            <w:tcW w:w="1451" w:type="dxa"/>
            <w:tcBorders>
              <w:top w:val="dotted" w:sz="4" w:space="0" w:color="auto"/>
              <w:bottom w:val="dotted" w:sz="4" w:space="0" w:color="auto"/>
              <w:right w:val="dotted" w:sz="4" w:space="0" w:color="auto"/>
            </w:tcBorders>
          </w:tcPr>
          <w:p w:rsidR="000428AB" w:rsidRPr="00025B12" w:rsidRDefault="000428A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84" w:type="dxa"/>
            <w:tcBorders>
              <w:top w:val="dotted" w:sz="4" w:space="0" w:color="auto"/>
              <w:left w:val="dotted" w:sz="4" w:space="0" w:color="auto"/>
              <w:bottom w:val="dotted" w:sz="4" w:space="0" w:color="auto"/>
              <w:right w:val="dotted" w:sz="4" w:space="0" w:color="auto"/>
            </w:tcBorders>
            <w:vAlign w:val="center"/>
          </w:tcPr>
          <w:p w:rsidR="000428AB" w:rsidRPr="00025B12" w:rsidRDefault="00665F1D" w:rsidP="00B90FDC">
            <w:pPr>
              <w:spacing w:after="0" w:line="240" w:lineRule="auto"/>
              <w:jc w:val="center"/>
              <w:rPr>
                <w:rFonts w:ascii="Verdana" w:eastAsiaTheme="minorHAnsi" w:hAnsi="Verdana" w:cstheme="minorBidi"/>
                <w:sz w:val="18"/>
                <w:szCs w:val="18"/>
              </w:rPr>
            </w:pPr>
            <w:hyperlink w:anchor="AES" w:history="1">
              <w:r w:rsidR="000428AB" w:rsidRPr="00025B12">
                <w:rPr>
                  <w:rStyle w:val="Hypertextovodkaz"/>
                  <w:rFonts w:ascii="Verdana" w:eastAsiaTheme="minorHAnsi" w:hAnsi="Verdana" w:cstheme="minorBidi"/>
                  <w:sz w:val="18"/>
                  <w:szCs w:val="18"/>
                </w:rPr>
                <w:t>AES</w:t>
              </w:r>
            </w:hyperlink>
          </w:p>
        </w:tc>
        <w:tc>
          <w:tcPr>
            <w:tcW w:w="2295" w:type="dxa"/>
            <w:tcBorders>
              <w:top w:val="dotted" w:sz="4" w:space="0" w:color="auto"/>
              <w:left w:val="dotted" w:sz="4" w:space="0" w:color="auto"/>
              <w:bottom w:val="dotted" w:sz="4" w:space="0" w:color="auto"/>
              <w:right w:val="dotted" w:sz="4" w:space="0" w:color="auto"/>
            </w:tcBorders>
            <w:vAlign w:val="center"/>
          </w:tcPr>
          <w:p w:rsidR="000428AB" w:rsidRPr="00025B12" w:rsidRDefault="000428AB"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18" w:type="dxa"/>
            <w:tcBorders>
              <w:top w:val="dotted" w:sz="4" w:space="0" w:color="auto"/>
              <w:left w:val="dotted" w:sz="4" w:space="0" w:color="auto"/>
              <w:bottom w:val="dotted" w:sz="4" w:space="0" w:color="auto"/>
              <w:right w:val="dotted" w:sz="4" w:space="0" w:color="auto"/>
            </w:tcBorders>
            <w:vAlign w:val="center"/>
          </w:tcPr>
          <w:p w:rsidR="000428AB" w:rsidRPr="00025B12" w:rsidRDefault="000428AB"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4 roky</w:t>
            </w:r>
          </w:p>
        </w:tc>
        <w:tc>
          <w:tcPr>
            <w:tcW w:w="1740" w:type="dxa"/>
            <w:tcBorders>
              <w:top w:val="dotted" w:sz="4" w:space="0" w:color="auto"/>
              <w:left w:val="dotted" w:sz="4" w:space="0" w:color="auto"/>
              <w:bottom w:val="dotted" w:sz="4" w:space="0" w:color="auto"/>
            </w:tcBorders>
            <w:vAlign w:val="center"/>
          </w:tcPr>
          <w:p w:rsidR="000428AB" w:rsidRPr="00025B12" w:rsidRDefault="000428AB"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0428AB" w:rsidRPr="00025B12" w:rsidTr="00B90FDC">
        <w:trPr>
          <w:trHeight w:val="360"/>
        </w:trPr>
        <w:tc>
          <w:tcPr>
            <w:tcW w:w="1451" w:type="dxa"/>
            <w:tcBorders>
              <w:top w:val="dotted" w:sz="4" w:space="0" w:color="auto"/>
              <w:bottom w:val="dotted" w:sz="4" w:space="0" w:color="auto"/>
              <w:right w:val="dotted" w:sz="4" w:space="0" w:color="auto"/>
            </w:tcBorders>
          </w:tcPr>
          <w:p w:rsidR="000428AB" w:rsidRPr="00025B12" w:rsidRDefault="000428A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84" w:type="dxa"/>
            <w:tcBorders>
              <w:top w:val="dotted" w:sz="4" w:space="0" w:color="auto"/>
              <w:left w:val="dotted" w:sz="4" w:space="0" w:color="auto"/>
              <w:bottom w:val="dotted" w:sz="4" w:space="0" w:color="auto"/>
              <w:right w:val="dotted" w:sz="4" w:space="0" w:color="auto"/>
            </w:tcBorders>
            <w:vAlign w:val="center"/>
          </w:tcPr>
          <w:p w:rsidR="000428AB" w:rsidRPr="00025B12" w:rsidRDefault="00665F1D" w:rsidP="00B90FDC">
            <w:pPr>
              <w:spacing w:after="0" w:line="240" w:lineRule="auto"/>
              <w:jc w:val="center"/>
              <w:rPr>
                <w:rFonts w:ascii="Verdana" w:eastAsiaTheme="minorHAnsi" w:hAnsi="Verdana" w:cstheme="minorBidi"/>
                <w:sz w:val="18"/>
                <w:szCs w:val="18"/>
              </w:rPr>
            </w:pPr>
            <w:hyperlink w:anchor="AES" w:history="1">
              <w:r w:rsidR="000428AB" w:rsidRPr="00025B12">
                <w:rPr>
                  <w:rStyle w:val="Hypertextovodkaz"/>
                  <w:rFonts w:ascii="Verdana" w:eastAsiaTheme="minorHAnsi" w:hAnsi="Verdana" w:cstheme="minorBidi"/>
                  <w:sz w:val="18"/>
                  <w:szCs w:val="18"/>
                </w:rPr>
                <w:t>AES</w:t>
              </w:r>
            </w:hyperlink>
          </w:p>
        </w:tc>
        <w:tc>
          <w:tcPr>
            <w:tcW w:w="2295" w:type="dxa"/>
            <w:tcBorders>
              <w:top w:val="dotted" w:sz="4" w:space="0" w:color="auto"/>
              <w:left w:val="dotted" w:sz="4" w:space="0" w:color="auto"/>
              <w:bottom w:val="dotted" w:sz="4" w:space="0" w:color="auto"/>
              <w:right w:val="dotted" w:sz="4" w:space="0" w:color="auto"/>
            </w:tcBorders>
            <w:vAlign w:val="center"/>
          </w:tcPr>
          <w:p w:rsidR="000428AB" w:rsidRPr="00025B12" w:rsidRDefault="000428AB"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18" w:type="dxa"/>
            <w:tcBorders>
              <w:top w:val="dotted" w:sz="4" w:space="0" w:color="auto"/>
              <w:left w:val="dotted" w:sz="4" w:space="0" w:color="auto"/>
              <w:bottom w:val="dotted" w:sz="4" w:space="0" w:color="auto"/>
              <w:right w:val="dotted" w:sz="4" w:space="0" w:color="auto"/>
            </w:tcBorders>
            <w:vAlign w:val="center"/>
          </w:tcPr>
          <w:p w:rsidR="000428AB" w:rsidRPr="00025B12" w:rsidRDefault="000428AB"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4 roky</w:t>
            </w:r>
          </w:p>
        </w:tc>
        <w:tc>
          <w:tcPr>
            <w:tcW w:w="1740" w:type="dxa"/>
            <w:tcBorders>
              <w:top w:val="dotted" w:sz="4" w:space="0" w:color="auto"/>
              <w:left w:val="dotted" w:sz="4" w:space="0" w:color="auto"/>
              <w:bottom w:val="dotted" w:sz="4" w:space="0" w:color="auto"/>
            </w:tcBorders>
            <w:vAlign w:val="center"/>
          </w:tcPr>
          <w:p w:rsidR="000428AB" w:rsidRPr="00025B12" w:rsidRDefault="000428AB"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0428AB" w:rsidRPr="00025B12" w:rsidTr="00B90FDC">
        <w:trPr>
          <w:trHeight w:val="360"/>
        </w:trPr>
        <w:tc>
          <w:tcPr>
            <w:tcW w:w="1451" w:type="dxa"/>
            <w:tcBorders>
              <w:top w:val="dotted" w:sz="4" w:space="0" w:color="auto"/>
              <w:right w:val="dotted" w:sz="4" w:space="0" w:color="auto"/>
            </w:tcBorders>
          </w:tcPr>
          <w:p w:rsidR="000428AB" w:rsidRPr="00025B12" w:rsidRDefault="000428AB"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84" w:type="dxa"/>
            <w:tcBorders>
              <w:top w:val="dotted" w:sz="4" w:space="0" w:color="auto"/>
              <w:left w:val="dotted" w:sz="4" w:space="0" w:color="auto"/>
              <w:right w:val="dotted" w:sz="4" w:space="0" w:color="auto"/>
            </w:tcBorders>
            <w:vAlign w:val="center"/>
          </w:tcPr>
          <w:p w:rsidR="000428AB" w:rsidRPr="00025B12" w:rsidRDefault="00665F1D" w:rsidP="00B90FDC">
            <w:pPr>
              <w:spacing w:after="0" w:line="240" w:lineRule="auto"/>
              <w:jc w:val="center"/>
              <w:rPr>
                <w:rFonts w:ascii="Verdana" w:eastAsiaTheme="minorHAnsi" w:hAnsi="Verdana" w:cstheme="minorBidi"/>
                <w:sz w:val="18"/>
                <w:szCs w:val="18"/>
              </w:rPr>
            </w:pPr>
            <w:hyperlink w:anchor="AES" w:history="1">
              <w:r w:rsidR="000428AB" w:rsidRPr="00025B12">
                <w:rPr>
                  <w:rStyle w:val="Hypertextovodkaz"/>
                  <w:rFonts w:ascii="Verdana" w:eastAsiaTheme="minorHAnsi" w:hAnsi="Verdana" w:cstheme="minorBidi"/>
                  <w:sz w:val="18"/>
                  <w:szCs w:val="18"/>
                </w:rPr>
                <w:t>AES</w:t>
              </w:r>
            </w:hyperlink>
          </w:p>
        </w:tc>
        <w:tc>
          <w:tcPr>
            <w:tcW w:w="2295" w:type="dxa"/>
            <w:tcBorders>
              <w:top w:val="dotted" w:sz="4" w:space="0" w:color="auto"/>
              <w:left w:val="dotted" w:sz="4" w:space="0" w:color="auto"/>
              <w:right w:val="dotted" w:sz="4" w:space="0" w:color="auto"/>
            </w:tcBorders>
            <w:vAlign w:val="center"/>
          </w:tcPr>
          <w:p w:rsidR="000428AB" w:rsidRPr="00025B12" w:rsidRDefault="000428AB"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18" w:type="dxa"/>
            <w:tcBorders>
              <w:top w:val="dotted" w:sz="4" w:space="0" w:color="auto"/>
              <w:left w:val="dotted" w:sz="4" w:space="0" w:color="auto"/>
              <w:right w:val="dotted" w:sz="4" w:space="0" w:color="auto"/>
            </w:tcBorders>
            <w:vAlign w:val="center"/>
          </w:tcPr>
          <w:p w:rsidR="000428AB" w:rsidRPr="00025B12" w:rsidRDefault="000428AB"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4 roky</w:t>
            </w:r>
          </w:p>
        </w:tc>
        <w:tc>
          <w:tcPr>
            <w:tcW w:w="1740" w:type="dxa"/>
            <w:tcBorders>
              <w:top w:val="dotted" w:sz="4" w:space="0" w:color="auto"/>
              <w:left w:val="dotted" w:sz="4" w:space="0" w:color="auto"/>
            </w:tcBorders>
            <w:vAlign w:val="center"/>
          </w:tcPr>
          <w:p w:rsidR="000428AB" w:rsidRPr="00025B12" w:rsidRDefault="000428AB"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A9209D" w:rsidRPr="00025B12" w:rsidTr="00C545F3">
        <w:trPr>
          <w:trHeight w:val="274"/>
        </w:trPr>
        <w:tc>
          <w:tcPr>
            <w:tcW w:w="9288" w:type="dxa"/>
            <w:gridSpan w:val="5"/>
            <w:shd w:val="clear" w:color="auto" w:fill="663399"/>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C545F3">
        <w:trPr>
          <w:trHeight w:val="1319"/>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A9209D" w:rsidRPr="00025B12" w:rsidRDefault="000428AB" w:rsidP="0043752C">
            <w:pPr>
              <w:jc w:val="both"/>
              <w:rPr>
                <w:rFonts w:ascii="Verdana" w:hAnsi="Verdana"/>
                <w:sz w:val="18"/>
                <w:szCs w:val="18"/>
              </w:rPr>
            </w:pPr>
            <w:r w:rsidRPr="00025B12">
              <w:rPr>
                <w:rFonts w:ascii="Verdana" w:hAnsi="Verdana"/>
                <w:sz w:val="18"/>
                <w:szCs w:val="18"/>
              </w:rPr>
              <w:t xml:space="preserve">Indikátor </w:t>
            </w:r>
            <w:r w:rsidR="005306F4" w:rsidRPr="00025B12">
              <w:rPr>
                <w:rFonts w:ascii="Verdana" w:hAnsi="Verdana"/>
                <w:sz w:val="18"/>
                <w:szCs w:val="18"/>
              </w:rPr>
              <w:t xml:space="preserve">informuje </w:t>
            </w:r>
            <w:r w:rsidRPr="00025B12">
              <w:rPr>
                <w:rFonts w:ascii="Verdana" w:hAnsi="Verdana"/>
                <w:sz w:val="18"/>
                <w:szCs w:val="18"/>
              </w:rPr>
              <w:t>o účasti</w:t>
            </w:r>
            <w:r w:rsidR="005306F4" w:rsidRPr="00025B12">
              <w:rPr>
                <w:rFonts w:ascii="Verdana" w:hAnsi="Verdana"/>
                <w:sz w:val="18"/>
                <w:szCs w:val="18"/>
              </w:rPr>
              <w:t xml:space="preserve"> dospělé populace</w:t>
            </w:r>
            <w:r w:rsidRPr="00025B12">
              <w:rPr>
                <w:rFonts w:ascii="Verdana" w:hAnsi="Verdana"/>
                <w:sz w:val="18"/>
                <w:szCs w:val="18"/>
              </w:rPr>
              <w:t xml:space="preserve"> na formálním vzdělávání, které probíhá ve vzdělávacích institucích a vede k získání uznávaných certifikátů a kvalifikací. Informuje nás tak o míře zvyšování formální kvalifikace populace v dospělém věku. </w:t>
            </w:r>
          </w:p>
        </w:tc>
      </w:tr>
      <w:tr w:rsidR="00A9209D" w:rsidRPr="00025B12" w:rsidTr="00C545F3">
        <w:trPr>
          <w:trHeight w:val="992"/>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0428AB" w:rsidRPr="00025B12" w:rsidRDefault="00A9209D" w:rsidP="00A9209D">
            <w:pPr>
              <w:jc w:val="both"/>
              <w:rPr>
                <w:rFonts w:ascii="Verdana" w:hAnsi="Verdana"/>
                <w:sz w:val="18"/>
                <w:szCs w:val="18"/>
              </w:rPr>
            </w:pPr>
            <w:r w:rsidRPr="00025B12">
              <w:rPr>
                <w:rFonts w:ascii="Verdana" w:hAnsi="Verdana"/>
                <w:sz w:val="18"/>
                <w:szCs w:val="18"/>
              </w:rPr>
              <w:t xml:space="preserve">Indikátor je vypočítán jako podíl osob, které se v uplynulých 12 měsících účastnily </w:t>
            </w:r>
            <w:r w:rsidR="000428AB" w:rsidRPr="00025B12">
              <w:rPr>
                <w:rFonts w:ascii="Verdana" w:hAnsi="Verdana"/>
                <w:sz w:val="18"/>
                <w:szCs w:val="18"/>
              </w:rPr>
              <w:t>formálního vzdělávání</w:t>
            </w:r>
            <w:r w:rsidRPr="00025B12">
              <w:rPr>
                <w:rFonts w:ascii="Verdana" w:hAnsi="Verdana"/>
                <w:sz w:val="18"/>
                <w:szCs w:val="18"/>
              </w:rPr>
              <w:t>, na populaci ve věku 25-64 let a uváděn v %.</w:t>
            </w:r>
            <w:r w:rsidR="000428AB" w:rsidRPr="00025B12">
              <w:rPr>
                <w:rFonts w:ascii="Verdana" w:hAnsi="Verdana"/>
                <w:sz w:val="18"/>
                <w:szCs w:val="18"/>
              </w:rPr>
              <w:t xml:space="preserve"> </w:t>
            </w:r>
          </w:p>
          <w:p w:rsidR="00A9209D" w:rsidRPr="00025B12" w:rsidRDefault="000428AB" w:rsidP="00A9209D">
            <w:pPr>
              <w:jc w:val="both"/>
              <w:rPr>
                <w:rFonts w:ascii="Verdana" w:hAnsi="Verdana"/>
                <w:sz w:val="18"/>
                <w:szCs w:val="18"/>
              </w:rPr>
            </w:pPr>
            <w:r w:rsidRPr="00025B12">
              <w:rPr>
                <w:rFonts w:ascii="Verdana" w:hAnsi="Verdana"/>
                <w:sz w:val="18"/>
                <w:szCs w:val="18"/>
              </w:rPr>
              <w:t>V mezinárodním srovnání může být mírně zkreslen, protože studenti počátečního vzdělávání mohou v různých zemích dokončovat v určité míře počáteční vzdělávání i po 25. roce věku.</w:t>
            </w:r>
          </w:p>
        </w:tc>
      </w:tr>
      <w:tr w:rsidR="00A9209D" w:rsidRPr="00025B12" w:rsidTr="00C545F3">
        <w:trPr>
          <w:trHeight w:val="1053"/>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A9209D" w:rsidRPr="00025B12" w:rsidRDefault="00A9209D" w:rsidP="00A9209D">
            <w:pPr>
              <w:jc w:val="both"/>
              <w:rPr>
                <w:rFonts w:ascii="Verdana" w:hAnsi="Verdana"/>
                <w:sz w:val="18"/>
                <w:szCs w:val="18"/>
              </w:rPr>
            </w:pPr>
            <w:r w:rsidRPr="00025B12">
              <w:rPr>
                <w:rFonts w:ascii="Verdana" w:hAnsi="Verdana"/>
                <w:sz w:val="18"/>
                <w:szCs w:val="18"/>
              </w:rPr>
              <w:t>V mezinárodním srovnání je indikátor pocházející z AES přímo publikován na internetových stránkách Eurostatu. Krajské členění veřejně publikováno není, je nutný výpočet z mikrodat. Těmito mikrodaty v současné době zpracovatel nedisponuje, proto v</w:t>
            </w:r>
            <w:r w:rsidR="00326A86" w:rsidRPr="00025B12">
              <w:rPr>
                <w:rFonts w:ascii="Verdana" w:hAnsi="Verdana"/>
                <w:sz w:val="18"/>
                <w:szCs w:val="18"/>
              </w:rPr>
              <w:t> </w:t>
            </w:r>
            <w:r w:rsidRPr="00025B12">
              <w:rPr>
                <w:rFonts w:ascii="Verdana" w:hAnsi="Verdana"/>
                <w:sz w:val="18"/>
                <w:szCs w:val="18"/>
              </w:rPr>
              <w:t>příloze</w:t>
            </w:r>
            <w:r w:rsidR="00326A86" w:rsidRPr="00025B12">
              <w:rPr>
                <w:rFonts w:ascii="Verdana" w:hAnsi="Verdana"/>
                <w:sz w:val="18"/>
                <w:szCs w:val="18"/>
              </w:rPr>
              <w:t xml:space="preserve"> 4</w:t>
            </w:r>
            <w:r w:rsidRPr="00025B12">
              <w:rPr>
                <w:rFonts w:ascii="Verdana" w:hAnsi="Verdana"/>
                <w:sz w:val="18"/>
                <w:szCs w:val="18"/>
              </w:rPr>
              <w:t xml:space="preserve"> krajská data pro indikátor nejsou obsažena.</w:t>
            </w:r>
            <w:r w:rsidR="000428AB" w:rsidRPr="00025B12">
              <w:rPr>
                <w:rFonts w:ascii="Verdana" w:hAnsi="Verdana"/>
                <w:sz w:val="18"/>
                <w:szCs w:val="18"/>
              </w:rPr>
              <w:t xml:space="preserve"> Bude nutno na mikrodatech ověřit, zda je krajské členění ještě dostatečně statisticky spolehlivé.</w:t>
            </w:r>
          </w:p>
        </w:tc>
      </w:tr>
      <w:tr w:rsidR="00A9209D" w:rsidRPr="00025B12" w:rsidTr="00C545F3">
        <w:trPr>
          <w:trHeight w:val="837"/>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A9209D" w:rsidRPr="00025B12" w:rsidRDefault="00A9209D" w:rsidP="00A9209D">
            <w:pPr>
              <w:jc w:val="both"/>
              <w:rPr>
                <w:rFonts w:ascii="Verdana" w:hAnsi="Verdana"/>
                <w:sz w:val="18"/>
                <w:szCs w:val="18"/>
              </w:rPr>
            </w:pPr>
            <w:r w:rsidRPr="00025B12">
              <w:rPr>
                <w:rFonts w:ascii="Verdana" w:hAnsi="Verdana"/>
                <w:sz w:val="18"/>
                <w:szCs w:val="18"/>
              </w:rPr>
              <w:t>V současné době je však velkou nevýhodou tohoto indikátoru, že zdrojem dat pro něj je šetření AES, které bylo zatím realizováno pouze jednou a v budoucnu by mělo být realizováno v pětiletých intervalech, což neposkytuje dostatečné časové řady, které je důležité u základního indikátoru mít. V průběhu roku 2011 budou nicméně pilotovány nové otázky do Výběrového šetření pracovních sil, které by měly právě tento indikátor začlenit. V minulosti byla otázka vztahující se k posledním 12 měsícům i v Ad-hoc modulu k Výběrovému šetření pracovních sil, ale jeho metodika nebyla s AES plně srovnatelná.</w:t>
            </w:r>
          </w:p>
          <w:p w:rsidR="000428AB" w:rsidRPr="00025B12" w:rsidRDefault="000428AB" w:rsidP="00A9209D">
            <w:pPr>
              <w:jc w:val="both"/>
              <w:rPr>
                <w:rFonts w:ascii="Verdana" w:hAnsi="Verdana"/>
                <w:sz w:val="18"/>
                <w:szCs w:val="18"/>
              </w:rPr>
            </w:pPr>
            <w:r w:rsidRPr="00025B12">
              <w:rPr>
                <w:rFonts w:ascii="Verdana" w:hAnsi="Verdana"/>
                <w:sz w:val="18"/>
                <w:szCs w:val="18"/>
              </w:rPr>
              <w:t xml:space="preserve">U formálního vzdělávání nehraje tak velkou roli, zda se jedná o období 4 týdnů nebo 12 měsíců jako u neformálního. </w:t>
            </w:r>
          </w:p>
        </w:tc>
      </w:tr>
    </w:tbl>
    <w:p w:rsidR="00A9209D" w:rsidRPr="00025B12" w:rsidRDefault="00A9209D" w:rsidP="00A9209D"/>
    <w:p w:rsidR="00A9209D" w:rsidRPr="00025B12" w:rsidRDefault="00A9209D" w:rsidP="00A9209D">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684"/>
        <w:gridCol w:w="2295"/>
        <w:gridCol w:w="2118"/>
        <w:gridCol w:w="1740"/>
      </w:tblGrid>
      <w:tr w:rsidR="00A9209D" w:rsidRPr="00025B12" w:rsidTr="00C545F3">
        <w:trPr>
          <w:trHeight w:val="425"/>
        </w:trPr>
        <w:tc>
          <w:tcPr>
            <w:tcW w:w="1451" w:type="dxa"/>
            <w:tcBorders>
              <w:bottom w:val="single" w:sz="4" w:space="0" w:color="auto"/>
              <w:right w:val="single" w:sz="4" w:space="0" w:color="auto"/>
            </w:tcBorders>
            <w:shd w:val="clear" w:color="auto" w:fill="663399"/>
            <w:vAlign w:val="center"/>
          </w:tcPr>
          <w:p w:rsidR="00A9209D" w:rsidRPr="00025B12" w:rsidRDefault="00A9209D" w:rsidP="00A9209D">
            <w:pPr>
              <w:pStyle w:val="Kd"/>
              <w:rPr>
                <w:sz w:val="18"/>
                <w:szCs w:val="18"/>
              </w:rPr>
            </w:pPr>
            <w:r w:rsidRPr="00025B12">
              <w:rPr>
                <w:sz w:val="18"/>
                <w:szCs w:val="18"/>
              </w:rPr>
              <w:br w:type="page"/>
            </w:r>
            <w:r w:rsidRPr="00025B12">
              <w:rPr>
                <w:sz w:val="18"/>
                <w:szCs w:val="18"/>
              </w:rPr>
              <w:br w:type="page"/>
            </w:r>
            <w:bookmarkStart w:id="117" w:name="IV12"/>
            <w:r w:rsidRPr="00025B12">
              <w:rPr>
                <w:sz w:val="18"/>
                <w:szCs w:val="18"/>
              </w:rPr>
              <w:t>IV.1.</w:t>
            </w:r>
            <w:r w:rsidR="00741F81" w:rsidRPr="00025B12">
              <w:rPr>
                <w:sz w:val="18"/>
                <w:szCs w:val="18"/>
              </w:rPr>
              <w:t>d</w:t>
            </w:r>
            <w:r w:rsidRPr="00025B12">
              <w:rPr>
                <w:sz w:val="18"/>
                <w:szCs w:val="18"/>
              </w:rPr>
              <w:t>2</w:t>
            </w:r>
            <w:bookmarkEnd w:id="117"/>
          </w:p>
        </w:tc>
        <w:tc>
          <w:tcPr>
            <w:tcW w:w="7837" w:type="dxa"/>
            <w:gridSpan w:val="4"/>
            <w:vMerge w:val="restart"/>
            <w:tcBorders>
              <w:top w:val="single" w:sz="4" w:space="0" w:color="auto"/>
              <w:left w:val="single" w:sz="4" w:space="0" w:color="auto"/>
              <w:right w:val="single" w:sz="4" w:space="0" w:color="auto"/>
            </w:tcBorders>
            <w:shd w:val="clear" w:color="auto" w:fill="663399"/>
            <w:vAlign w:val="center"/>
          </w:tcPr>
          <w:p w:rsidR="00A9209D" w:rsidRPr="00025B12" w:rsidRDefault="00A9209D"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 xml:space="preserve">Počet </w:t>
            </w:r>
            <w:r w:rsidR="00C545F3" w:rsidRPr="00025B12">
              <w:rPr>
                <w:rFonts w:ascii="Verdana" w:eastAsiaTheme="minorHAnsi" w:hAnsi="Verdana" w:cstheme="minorBidi"/>
                <w:b/>
                <w:color w:val="FFFFFF" w:themeColor="background1"/>
              </w:rPr>
              <w:t>hodin strávených účastníkem v dalším formálním vzdělávání</w:t>
            </w:r>
            <w:r w:rsidRPr="00025B12">
              <w:rPr>
                <w:rFonts w:ascii="Verdana" w:eastAsiaTheme="minorHAnsi" w:hAnsi="Verdana" w:cstheme="minorBidi"/>
                <w:b/>
                <w:color w:val="FFFFFF" w:themeColor="background1"/>
              </w:rPr>
              <w:t xml:space="preserve"> v posledních 12 měsících</w:t>
            </w:r>
          </w:p>
        </w:tc>
      </w:tr>
      <w:tr w:rsidR="00625F38" w:rsidRPr="00025B12" w:rsidTr="00C545F3">
        <w:trPr>
          <w:trHeight w:val="360"/>
        </w:trPr>
        <w:tc>
          <w:tcPr>
            <w:tcW w:w="1451" w:type="dxa"/>
            <w:tcBorders>
              <w:top w:val="single" w:sz="4" w:space="0" w:color="auto"/>
              <w:bottom w:val="single" w:sz="4" w:space="0" w:color="auto"/>
              <w:right w:val="single" w:sz="4" w:space="0" w:color="auto"/>
            </w:tcBorders>
            <w:shd w:val="clear" w:color="auto" w:fill="663399"/>
            <w:vAlign w:val="center"/>
          </w:tcPr>
          <w:p w:rsidR="00625F38" w:rsidRPr="00025B12" w:rsidRDefault="00625F38" w:rsidP="00834CE6">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37" w:type="dxa"/>
            <w:gridSpan w:val="4"/>
            <w:vMerge/>
            <w:tcBorders>
              <w:left w:val="single" w:sz="4" w:space="0" w:color="auto"/>
              <w:bottom w:val="single" w:sz="4" w:space="0" w:color="auto"/>
              <w:right w:val="single" w:sz="4" w:space="0" w:color="auto"/>
            </w:tcBorders>
            <w:vAlign w:val="center"/>
          </w:tcPr>
          <w:p w:rsidR="00625F38" w:rsidRPr="00025B12" w:rsidRDefault="00625F38" w:rsidP="00A9209D">
            <w:pPr>
              <w:spacing w:after="0" w:line="240" w:lineRule="auto"/>
              <w:jc w:val="center"/>
              <w:rPr>
                <w:rFonts w:ascii="Verdana" w:eastAsiaTheme="minorHAnsi" w:hAnsi="Verdana" w:cstheme="minorBidi"/>
                <w:sz w:val="18"/>
                <w:szCs w:val="18"/>
              </w:rPr>
            </w:pPr>
          </w:p>
        </w:tc>
      </w:tr>
      <w:tr w:rsidR="00A9209D" w:rsidRPr="00025B12" w:rsidTr="00296FE3">
        <w:trPr>
          <w:trHeight w:val="360"/>
        </w:trPr>
        <w:tc>
          <w:tcPr>
            <w:tcW w:w="1451" w:type="dxa"/>
            <w:tcBorders>
              <w:top w:val="single"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p>
        </w:tc>
        <w:tc>
          <w:tcPr>
            <w:tcW w:w="1684"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95"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8"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0" w:type="dxa"/>
            <w:tcBorders>
              <w:top w:val="single" w:sz="4" w:space="0" w:color="auto"/>
              <w:left w:val="dotted" w:sz="4" w:space="0" w:color="auto"/>
              <w:bottom w:val="dotted" w:sz="4" w:space="0" w:color="auto"/>
            </w:tcBorders>
            <w:vAlign w:val="center"/>
          </w:tcPr>
          <w:p w:rsidR="00A9209D" w:rsidRPr="00025B12" w:rsidRDefault="00A9209D"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9349B5" w:rsidRPr="00025B12" w:rsidTr="00C545F3">
        <w:trPr>
          <w:trHeight w:val="360"/>
        </w:trPr>
        <w:tc>
          <w:tcPr>
            <w:tcW w:w="1451" w:type="dxa"/>
            <w:tcBorders>
              <w:top w:val="dotted" w:sz="4" w:space="0" w:color="auto"/>
              <w:bottom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84" w:type="dxa"/>
            <w:tcBorders>
              <w:top w:val="dotted" w:sz="4" w:space="0" w:color="auto"/>
              <w:left w:val="dotted" w:sz="4" w:space="0" w:color="auto"/>
              <w:bottom w:val="dotted" w:sz="4" w:space="0" w:color="auto"/>
              <w:right w:val="dotted" w:sz="4" w:space="0" w:color="auto"/>
            </w:tcBorders>
            <w:vAlign w:val="center"/>
          </w:tcPr>
          <w:p w:rsidR="009349B5" w:rsidRPr="00025B12" w:rsidRDefault="00665F1D" w:rsidP="005F2F0A">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295"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18"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0" w:type="dxa"/>
            <w:tcBorders>
              <w:top w:val="dotted" w:sz="4" w:space="0" w:color="auto"/>
              <w:left w:val="dotted" w:sz="4" w:space="0" w:color="auto"/>
              <w:bottom w:val="dotted" w:sz="4" w:space="0" w:color="auto"/>
            </w:tcBorders>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w:t>
            </w:r>
          </w:p>
        </w:tc>
      </w:tr>
      <w:tr w:rsidR="009349B5" w:rsidRPr="00025B12" w:rsidTr="00C545F3">
        <w:trPr>
          <w:trHeight w:val="360"/>
        </w:trPr>
        <w:tc>
          <w:tcPr>
            <w:tcW w:w="1451" w:type="dxa"/>
            <w:tcBorders>
              <w:top w:val="dotted" w:sz="4" w:space="0" w:color="auto"/>
              <w:bottom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84" w:type="dxa"/>
            <w:tcBorders>
              <w:top w:val="dotted" w:sz="4" w:space="0" w:color="auto"/>
              <w:left w:val="dotted" w:sz="4" w:space="0" w:color="auto"/>
              <w:bottom w:val="dotted" w:sz="4" w:space="0" w:color="auto"/>
              <w:right w:val="dotted" w:sz="4" w:space="0" w:color="auto"/>
            </w:tcBorders>
            <w:vAlign w:val="center"/>
          </w:tcPr>
          <w:p w:rsidR="009349B5" w:rsidRPr="00025B12" w:rsidRDefault="00665F1D" w:rsidP="005F2F0A">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295"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18"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0" w:type="dxa"/>
            <w:tcBorders>
              <w:top w:val="dotted" w:sz="4" w:space="0" w:color="auto"/>
              <w:left w:val="dotted" w:sz="4" w:space="0" w:color="auto"/>
              <w:bottom w:val="dotted" w:sz="4" w:space="0" w:color="auto"/>
            </w:tcBorders>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w:t>
            </w:r>
          </w:p>
        </w:tc>
      </w:tr>
      <w:tr w:rsidR="009349B5" w:rsidRPr="00025B12" w:rsidTr="00C545F3">
        <w:trPr>
          <w:trHeight w:val="360"/>
        </w:trPr>
        <w:tc>
          <w:tcPr>
            <w:tcW w:w="1451" w:type="dxa"/>
            <w:tcBorders>
              <w:top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84" w:type="dxa"/>
            <w:tcBorders>
              <w:top w:val="dotted" w:sz="4" w:space="0" w:color="auto"/>
              <w:left w:val="dotted" w:sz="4" w:space="0" w:color="auto"/>
              <w:right w:val="dotted" w:sz="4" w:space="0" w:color="auto"/>
            </w:tcBorders>
            <w:vAlign w:val="center"/>
          </w:tcPr>
          <w:p w:rsidR="009349B5" w:rsidRPr="00025B12" w:rsidRDefault="00665F1D" w:rsidP="005F2F0A">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295" w:type="dxa"/>
            <w:tcBorders>
              <w:top w:val="dotted" w:sz="4" w:space="0" w:color="auto"/>
              <w:left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18" w:type="dxa"/>
            <w:tcBorders>
              <w:top w:val="dotted" w:sz="4" w:space="0" w:color="auto"/>
              <w:left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0" w:type="dxa"/>
            <w:tcBorders>
              <w:top w:val="dotted" w:sz="4" w:space="0" w:color="auto"/>
              <w:left w:val="dotted" w:sz="4" w:space="0" w:color="auto"/>
            </w:tcBorders>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w:t>
            </w:r>
          </w:p>
        </w:tc>
      </w:tr>
      <w:tr w:rsidR="00A9209D" w:rsidRPr="00025B12" w:rsidTr="00C545F3">
        <w:trPr>
          <w:trHeight w:val="274"/>
        </w:trPr>
        <w:tc>
          <w:tcPr>
            <w:tcW w:w="9288" w:type="dxa"/>
            <w:gridSpan w:val="5"/>
            <w:shd w:val="clear" w:color="auto" w:fill="663399"/>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C545F3">
        <w:trPr>
          <w:trHeight w:val="1319"/>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A9209D" w:rsidRPr="00025B12" w:rsidRDefault="00A9209D" w:rsidP="00A9209D">
            <w:pPr>
              <w:jc w:val="both"/>
              <w:rPr>
                <w:rFonts w:ascii="Verdana" w:hAnsi="Verdana"/>
                <w:sz w:val="18"/>
                <w:szCs w:val="18"/>
              </w:rPr>
            </w:pPr>
            <w:r w:rsidRPr="00025B12">
              <w:rPr>
                <w:rFonts w:ascii="Verdana" w:hAnsi="Verdana"/>
                <w:sz w:val="18"/>
                <w:szCs w:val="18"/>
              </w:rPr>
              <w:t>Při hodnocení účasti na dalším vzdělávání je důležité sledovat nejen, jaký podíl populace se vzdělávání účastní, ale také jaký je rozsah tohoto vzdělávání u účastníka. Ačkoli u formálního vzdělávání není tento rozsah natolik klíčový jako u neformálního, přesto poskytuje zajímavou doplňkovou informaci o časové náročnosti dalšího formálního vzdělávání v různých zemích.</w:t>
            </w:r>
            <w:r w:rsidR="003C1547" w:rsidRPr="00025B12">
              <w:rPr>
                <w:rFonts w:ascii="Verdana" w:hAnsi="Verdana"/>
                <w:sz w:val="18"/>
                <w:szCs w:val="18"/>
              </w:rPr>
              <w:t xml:space="preserve"> V mezinárodním srovnání může být mírně zkreslen, protože studenti počátečního vzdělávání mohou v různých zemích dokončovat v určité míře počáteční vzdělávání i po 25. roce věku.</w:t>
            </w:r>
          </w:p>
        </w:tc>
      </w:tr>
      <w:tr w:rsidR="00A9209D" w:rsidRPr="00025B12" w:rsidTr="00C545F3">
        <w:trPr>
          <w:trHeight w:val="992"/>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A9209D" w:rsidRPr="00025B12" w:rsidRDefault="00A9209D" w:rsidP="00A9209D">
            <w:pPr>
              <w:jc w:val="both"/>
              <w:rPr>
                <w:rFonts w:ascii="Verdana" w:hAnsi="Verdana"/>
                <w:sz w:val="18"/>
                <w:szCs w:val="18"/>
              </w:rPr>
            </w:pPr>
            <w:r w:rsidRPr="00025B12">
              <w:rPr>
                <w:rFonts w:ascii="Verdana" w:hAnsi="Verdana"/>
                <w:sz w:val="18"/>
                <w:szCs w:val="18"/>
              </w:rPr>
              <w:t>Indikátor uvádí průměrný počet hodin strávených účastníkem na formálním vzdělávání. Vztahuje se k populaci ve věku 25-64 let. Indikátor hodnotí intenzitu dalšího vzdělávání, pro hodnocení celkového rozsahu dalšího vzdělávání v dané zemi či regionu je třeba dát tuto intenzitu do vztahu s podílem lidí, kteří se dalšího formálního vzdělávání účastní.</w:t>
            </w:r>
          </w:p>
        </w:tc>
      </w:tr>
      <w:tr w:rsidR="00A9209D" w:rsidRPr="00025B12" w:rsidTr="00C545F3">
        <w:trPr>
          <w:trHeight w:val="1053"/>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A9209D" w:rsidRPr="00025B12" w:rsidRDefault="00A9209D" w:rsidP="00A9209D">
            <w:pPr>
              <w:jc w:val="both"/>
              <w:rPr>
                <w:rFonts w:ascii="Verdana" w:hAnsi="Verdana"/>
                <w:sz w:val="18"/>
                <w:szCs w:val="18"/>
              </w:rPr>
            </w:pPr>
            <w:r w:rsidRPr="00025B12">
              <w:rPr>
                <w:rFonts w:ascii="Verdana" w:hAnsi="Verdana"/>
                <w:sz w:val="18"/>
                <w:szCs w:val="18"/>
              </w:rPr>
              <w:t>Zdrojem dat je šetření AES, což zatím omezuje informaci na jednorázový časový údaj, v budoucnu by měl být indikátor k dispozici v pětiletých intervalech. V mezinárodním srovnání je indikátor pocházející z AES přímo publikován na internetových stránkách Eurostatu. Krajské členění veřejně publikováno není, je nutný výpočet z mikrodat. Těmito mikrodaty v současné době zpracovatel nedisponuje, proto v</w:t>
            </w:r>
            <w:r w:rsidR="00326A86" w:rsidRPr="00025B12">
              <w:rPr>
                <w:rFonts w:ascii="Verdana" w:hAnsi="Verdana"/>
                <w:sz w:val="18"/>
                <w:szCs w:val="18"/>
              </w:rPr>
              <w:t> </w:t>
            </w:r>
            <w:r w:rsidRPr="00025B12">
              <w:rPr>
                <w:rFonts w:ascii="Verdana" w:hAnsi="Verdana"/>
                <w:sz w:val="18"/>
                <w:szCs w:val="18"/>
              </w:rPr>
              <w:t>příloze</w:t>
            </w:r>
            <w:r w:rsidR="00326A86" w:rsidRPr="00025B12">
              <w:rPr>
                <w:rFonts w:ascii="Verdana" w:hAnsi="Verdana"/>
                <w:sz w:val="18"/>
                <w:szCs w:val="18"/>
              </w:rPr>
              <w:t xml:space="preserve"> 4</w:t>
            </w:r>
            <w:r w:rsidRPr="00025B12">
              <w:rPr>
                <w:rFonts w:ascii="Verdana" w:hAnsi="Verdana"/>
                <w:sz w:val="18"/>
                <w:szCs w:val="18"/>
              </w:rPr>
              <w:t xml:space="preserve"> krajská data pro indikátor nejsou obsažena.</w:t>
            </w:r>
          </w:p>
        </w:tc>
      </w:tr>
      <w:tr w:rsidR="00A9209D" w:rsidRPr="00025B12" w:rsidTr="00C545F3">
        <w:trPr>
          <w:trHeight w:val="837"/>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A9209D" w:rsidRPr="00025B12" w:rsidRDefault="00A9209D" w:rsidP="00A9209D">
            <w:pPr>
              <w:jc w:val="both"/>
              <w:rPr>
                <w:rFonts w:ascii="Verdana" w:hAnsi="Verdana"/>
                <w:sz w:val="18"/>
                <w:szCs w:val="18"/>
              </w:rPr>
            </w:pPr>
          </w:p>
        </w:tc>
      </w:tr>
    </w:tbl>
    <w:p w:rsidR="00A9209D" w:rsidRPr="00025B12" w:rsidRDefault="00A9209D" w:rsidP="00A9209D"/>
    <w:p w:rsidR="00A9209D" w:rsidRPr="00025B12" w:rsidRDefault="00A9209D" w:rsidP="00A9209D">
      <w:r w:rsidRPr="00025B12">
        <w:br w:type="page"/>
      </w:r>
    </w:p>
    <w:p w:rsidR="00A9209D" w:rsidRPr="00025B12" w:rsidRDefault="00A9209D" w:rsidP="00A920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684"/>
        <w:gridCol w:w="2295"/>
        <w:gridCol w:w="2118"/>
        <w:gridCol w:w="1740"/>
      </w:tblGrid>
      <w:tr w:rsidR="00A9209D" w:rsidRPr="00025B12" w:rsidTr="00F5237C">
        <w:trPr>
          <w:trHeight w:val="425"/>
        </w:trPr>
        <w:tc>
          <w:tcPr>
            <w:tcW w:w="1451" w:type="dxa"/>
            <w:tcBorders>
              <w:bottom w:val="single" w:sz="4" w:space="0" w:color="auto"/>
              <w:right w:val="single" w:sz="4" w:space="0" w:color="auto"/>
            </w:tcBorders>
            <w:shd w:val="clear" w:color="auto" w:fill="663399"/>
            <w:vAlign w:val="center"/>
          </w:tcPr>
          <w:p w:rsidR="00A9209D" w:rsidRPr="00025B12" w:rsidRDefault="00A9209D" w:rsidP="00A9209D">
            <w:pPr>
              <w:pStyle w:val="Kd"/>
              <w:rPr>
                <w:sz w:val="18"/>
                <w:szCs w:val="18"/>
              </w:rPr>
            </w:pPr>
            <w:r w:rsidRPr="00025B12">
              <w:rPr>
                <w:sz w:val="18"/>
                <w:szCs w:val="18"/>
              </w:rPr>
              <w:br w:type="page"/>
            </w:r>
            <w:r w:rsidRPr="00025B12">
              <w:rPr>
                <w:sz w:val="18"/>
                <w:szCs w:val="18"/>
              </w:rPr>
              <w:br w:type="page"/>
            </w:r>
            <w:bookmarkStart w:id="118" w:name="IV13"/>
            <w:r w:rsidRPr="00025B12">
              <w:rPr>
                <w:sz w:val="18"/>
                <w:szCs w:val="18"/>
              </w:rPr>
              <w:t>IV.1.</w:t>
            </w:r>
            <w:r w:rsidR="00741F81" w:rsidRPr="00025B12">
              <w:rPr>
                <w:sz w:val="18"/>
                <w:szCs w:val="18"/>
              </w:rPr>
              <w:t>d</w:t>
            </w:r>
            <w:r w:rsidRPr="00025B12">
              <w:rPr>
                <w:sz w:val="18"/>
                <w:szCs w:val="18"/>
              </w:rPr>
              <w:t>3</w:t>
            </w:r>
            <w:bookmarkEnd w:id="118"/>
          </w:p>
        </w:tc>
        <w:tc>
          <w:tcPr>
            <w:tcW w:w="7837" w:type="dxa"/>
            <w:gridSpan w:val="4"/>
            <w:vMerge w:val="restart"/>
            <w:tcBorders>
              <w:top w:val="single" w:sz="4" w:space="0" w:color="auto"/>
              <w:left w:val="single" w:sz="4" w:space="0" w:color="auto"/>
              <w:right w:val="single" w:sz="4" w:space="0" w:color="auto"/>
            </w:tcBorders>
            <w:shd w:val="clear" w:color="auto" w:fill="663399"/>
            <w:vAlign w:val="center"/>
          </w:tcPr>
          <w:p w:rsidR="00A9209D" w:rsidRPr="00025B12" w:rsidRDefault="005306F4" w:rsidP="005306F4">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 xml:space="preserve">Účast dospělé </w:t>
            </w:r>
            <w:r w:rsidR="00A9209D" w:rsidRPr="00025B12">
              <w:rPr>
                <w:rFonts w:ascii="Verdana" w:eastAsiaTheme="minorHAnsi" w:hAnsi="Verdana" w:cstheme="minorBidi"/>
                <w:b/>
                <w:color w:val="FFFFFF" w:themeColor="background1"/>
              </w:rPr>
              <w:t>populace na formálním vzdělávání v posledních 4 týdnech</w:t>
            </w:r>
          </w:p>
        </w:tc>
      </w:tr>
      <w:tr w:rsidR="00625F38" w:rsidRPr="00025B12" w:rsidTr="00F5237C">
        <w:trPr>
          <w:trHeight w:val="360"/>
        </w:trPr>
        <w:tc>
          <w:tcPr>
            <w:tcW w:w="1451" w:type="dxa"/>
            <w:tcBorders>
              <w:top w:val="single" w:sz="4" w:space="0" w:color="auto"/>
              <w:bottom w:val="single" w:sz="4" w:space="0" w:color="auto"/>
              <w:right w:val="single" w:sz="4" w:space="0" w:color="auto"/>
            </w:tcBorders>
            <w:shd w:val="clear" w:color="auto" w:fill="663399"/>
            <w:vAlign w:val="center"/>
          </w:tcPr>
          <w:p w:rsidR="00625F38" w:rsidRPr="00025B12" w:rsidRDefault="00625F38" w:rsidP="00834CE6">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37" w:type="dxa"/>
            <w:gridSpan w:val="4"/>
            <w:vMerge/>
            <w:tcBorders>
              <w:left w:val="single" w:sz="4" w:space="0" w:color="auto"/>
              <w:bottom w:val="single" w:sz="4" w:space="0" w:color="auto"/>
              <w:right w:val="single" w:sz="4" w:space="0" w:color="auto"/>
            </w:tcBorders>
            <w:vAlign w:val="center"/>
          </w:tcPr>
          <w:p w:rsidR="00625F38" w:rsidRPr="00025B12" w:rsidRDefault="00625F38" w:rsidP="00A9209D">
            <w:pPr>
              <w:spacing w:after="0" w:line="240" w:lineRule="auto"/>
              <w:jc w:val="center"/>
              <w:rPr>
                <w:rFonts w:ascii="Verdana" w:eastAsiaTheme="minorHAnsi" w:hAnsi="Verdana" w:cstheme="minorBidi"/>
                <w:sz w:val="18"/>
                <w:szCs w:val="18"/>
              </w:rPr>
            </w:pPr>
          </w:p>
        </w:tc>
      </w:tr>
      <w:tr w:rsidR="00A9209D" w:rsidRPr="00025B12" w:rsidTr="00296FE3">
        <w:trPr>
          <w:trHeight w:val="360"/>
        </w:trPr>
        <w:tc>
          <w:tcPr>
            <w:tcW w:w="1451" w:type="dxa"/>
            <w:tcBorders>
              <w:top w:val="single"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p>
        </w:tc>
        <w:tc>
          <w:tcPr>
            <w:tcW w:w="1684"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95"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8"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0" w:type="dxa"/>
            <w:tcBorders>
              <w:top w:val="single" w:sz="4" w:space="0" w:color="auto"/>
              <w:left w:val="dotted" w:sz="4" w:space="0" w:color="auto"/>
              <w:bottom w:val="dotted" w:sz="4" w:space="0" w:color="auto"/>
            </w:tcBorders>
            <w:vAlign w:val="center"/>
          </w:tcPr>
          <w:p w:rsidR="00A9209D" w:rsidRPr="00025B12" w:rsidRDefault="00A9209D"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A9209D" w:rsidRPr="00025B12" w:rsidTr="00F5237C">
        <w:trPr>
          <w:trHeight w:val="360"/>
        </w:trPr>
        <w:tc>
          <w:tcPr>
            <w:tcW w:w="1451" w:type="dxa"/>
            <w:tcBorders>
              <w:top w:val="dotted"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84" w:type="dxa"/>
            <w:tcBorders>
              <w:top w:val="dotted" w:sz="4" w:space="0" w:color="auto"/>
              <w:left w:val="dotted" w:sz="4" w:space="0" w:color="auto"/>
              <w:bottom w:val="dotted" w:sz="4" w:space="0" w:color="auto"/>
              <w:right w:val="dotted" w:sz="4" w:space="0" w:color="auto"/>
            </w:tcBorders>
            <w:vAlign w:val="center"/>
          </w:tcPr>
          <w:p w:rsidR="00A9209D" w:rsidRPr="00025B12" w:rsidRDefault="00665F1D" w:rsidP="00A9209D">
            <w:pPr>
              <w:spacing w:after="0" w:line="240" w:lineRule="auto"/>
              <w:jc w:val="center"/>
              <w:rPr>
                <w:rFonts w:ascii="Verdana" w:eastAsiaTheme="minorHAnsi" w:hAnsi="Verdana" w:cstheme="minorBidi"/>
                <w:sz w:val="18"/>
                <w:szCs w:val="18"/>
              </w:rPr>
            </w:pPr>
            <w:hyperlink w:anchor="VŠPS" w:history="1">
              <w:r w:rsidR="00A9209D" w:rsidRPr="00025B12">
                <w:rPr>
                  <w:rStyle w:val="Hypertextovodkaz"/>
                  <w:rFonts w:ascii="Verdana" w:eastAsiaTheme="minorHAnsi" w:hAnsi="Verdana" w:cstheme="minorBidi"/>
                  <w:sz w:val="18"/>
                  <w:szCs w:val="18"/>
                </w:rPr>
                <w:t>LFS (VŠPS)</w:t>
              </w:r>
            </w:hyperlink>
          </w:p>
        </w:tc>
        <w:tc>
          <w:tcPr>
            <w:tcW w:w="2295"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18"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0" w:type="dxa"/>
            <w:tcBorders>
              <w:top w:val="dotted" w:sz="4" w:space="0" w:color="auto"/>
              <w:left w:val="dotted" w:sz="4" w:space="0" w:color="auto"/>
              <w:bottom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2004</w:t>
            </w:r>
          </w:p>
        </w:tc>
      </w:tr>
      <w:tr w:rsidR="00F5237C" w:rsidRPr="00025B12" w:rsidTr="00F5237C">
        <w:trPr>
          <w:trHeight w:val="360"/>
        </w:trPr>
        <w:tc>
          <w:tcPr>
            <w:tcW w:w="1451" w:type="dxa"/>
            <w:tcBorders>
              <w:top w:val="dotted" w:sz="4" w:space="0" w:color="auto"/>
              <w:bottom w:val="dotted" w:sz="4" w:space="0" w:color="auto"/>
              <w:right w:val="dotted" w:sz="4" w:space="0" w:color="auto"/>
            </w:tcBorders>
          </w:tcPr>
          <w:p w:rsidR="00F5237C" w:rsidRPr="00025B12" w:rsidRDefault="00F5237C"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84" w:type="dxa"/>
            <w:tcBorders>
              <w:top w:val="dotted" w:sz="4" w:space="0" w:color="auto"/>
              <w:left w:val="dotted" w:sz="4" w:space="0" w:color="auto"/>
              <w:bottom w:val="dotted" w:sz="4" w:space="0" w:color="auto"/>
              <w:right w:val="dotted" w:sz="4" w:space="0" w:color="auto"/>
            </w:tcBorders>
            <w:vAlign w:val="center"/>
          </w:tcPr>
          <w:p w:rsidR="00F5237C" w:rsidRPr="00025B12" w:rsidRDefault="00665F1D" w:rsidP="005F2F0A">
            <w:pPr>
              <w:spacing w:after="0" w:line="240" w:lineRule="auto"/>
              <w:jc w:val="center"/>
              <w:rPr>
                <w:rFonts w:ascii="Verdana" w:eastAsiaTheme="minorHAnsi" w:hAnsi="Verdana" w:cstheme="minorBidi"/>
                <w:sz w:val="18"/>
                <w:szCs w:val="18"/>
              </w:rPr>
            </w:pPr>
            <w:hyperlink w:anchor="VŠPS" w:history="1">
              <w:r w:rsidR="00F5237C" w:rsidRPr="00025B12">
                <w:rPr>
                  <w:rStyle w:val="Hypertextovodkaz"/>
                  <w:rFonts w:ascii="Verdana" w:eastAsiaTheme="minorHAnsi" w:hAnsi="Verdana" w:cstheme="minorBidi"/>
                  <w:sz w:val="18"/>
                  <w:szCs w:val="18"/>
                </w:rPr>
                <w:t>LFS (VŠPS)</w:t>
              </w:r>
            </w:hyperlink>
          </w:p>
        </w:tc>
        <w:tc>
          <w:tcPr>
            <w:tcW w:w="2295" w:type="dxa"/>
            <w:tcBorders>
              <w:top w:val="dotted" w:sz="4" w:space="0" w:color="auto"/>
              <w:left w:val="dotted" w:sz="4" w:space="0" w:color="auto"/>
              <w:bottom w:val="dotted" w:sz="4" w:space="0" w:color="auto"/>
              <w:right w:val="dotted" w:sz="4" w:space="0" w:color="auto"/>
            </w:tcBorders>
            <w:vAlign w:val="center"/>
          </w:tcPr>
          <w:p w:rsidR="00F5237C" w:rsidRPr="00025B12" w:rsidRDefault="00F5237C"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18" w:type="dxa"/>
            <w:tcBorders>
              <w:top w:val="dotted" w:sz="4" w:space="0" w:color="auto"/>
              <w:left w:val="dotted" w:sz="4" w:space="0" w:color="auto"/>
              <w:bottom w:val="dotted" w:sz="4" w:space="0" w:color="auto"/>
              <w:right w:val="dotted" w:sz="4" w:space="0" w:color="auto"/>
            </w:tcBorders>
            <w:vAlign w:val="center"/>
          </w:tcPr>
          <w:p w:rsidR="00F5237C" w:rsidRPr="00025B12" w:rsidRDefault="00F5237C"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0" w:type="dxa"/>
            <w:tcBorders>
              <w:top w:val="dotted" w:sz="4" w:space="0" w:color="auto"/>
              <w:left w:val="dotted" w:sz="4" w:space="0" w:color="auto"/>
              <w:bottom w:val="dotted" w:sz="4" w:space="0" w:color="auto"/>
            </w:tcBorders>
          </w:tcPr>
          <w:p w:rsidR="00F5237C" w:rsidRPr="00025B12" w:rsidRDefault="00F5237C"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2004</w:t>
            </w:r>
          </w:p>
        </w:tc>
      </w:tr>
      <w:tr w:rsidR="00A9209D" w:rsidRPr="00025B12" w:rsidTr="00F5237C">
        <w:trPr>
          <w:trHeight w:val="360"/>
        </w:trPr>
        <w:tc>
          <w:tcPr>
            <w:tcW w:w="1451" w:type="dxa"/>
            <w:tcBorders>
              <w:top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84" w:type="dxa"/>
            <w:tcBorders>
              <w:top w:val="dotted" w:sz="4" w:space="0" w:color="auto"/>
              <w:left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95" w:type="dxa"/>
            <w:tcBorders>
              <w:top w:val="dotted" w:sz="4" w:space="0" w:color="auto"/>
              <w:left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18" w:type="dxa"/>
            <w:tcBorders>
              <w:top w:val="dotted" w:sz="4" w:space="0" w:color="auto"/>
              <w:left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40" w:type="dxa"/>
            <w:tcBorders>
              <w:top w:val="dotted" w:sz="4" w:space="0" w:color="auto"/>
              <w:left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A9209D" w:rsidRPr="00025B12" w:rsidTr="00F5237C">
        <w:trPr>
          <w:trHeight w:val="274"/>
        </w:trPr>
        <w:tc>
          <w:tcPr>
            <w:tcW w:w="9288" w:type="dxa"/>
            <w:gridSpan w:val="5"/>
            <w:shd w:val="clear" w:color="auto" w:fill="663399"/>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F5237C">
        <w:trPr>
          <w:trHeight w:val="1319"/>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A9209D" w:rsidRPr="00025B12" w:rsidRDefault="00A9209D" w:rsidP="003C1547">
            <w:pPr>
              <w:jc w:val="both"/>
              <w:rPr>
                <w:rFonts w:ascii="Verdana" w:hAnsi="Verdana"/>
                <w:sz w:val="18"/>
                <w:szCs w:val="18"/>
              </w:rPr>
            </w:pPr>
            <w:r w:rsidRPr="00025B12">
              <w:rPr>
                <w:rFonts w:ascii="Verdana" w:hAnsi="Verdana"/>
                <w:sz w:val="18"/>
                <w:szCs w:val="18"/>
              </w:rPr>
              <w:t xml:space="preserve">Indikátor </w:t>
            </w:r>
            <w:r w:rsidR="003C1547" w:rsidRPr="00025B12">
              <w:rPr>
                <w:rFonts w:ascii="Verdana" w:hAnsi="Verdana"/>
                <w:sz w:val="18"/>
                <w:szCs w:val="18"/>
              </w:rPr>
              <w:t xml:space="preserve">informuje </w:t>
            </w:r>
            <w:r w:rsidRPr="00025B12">
              <w:rPr>
                <w:rFonts w:ascii="Verdana" w:hAnsi="Verdana"/>
                <w:sz w:val="18"/>
                <w:szCs w:val="18"/>
              </w:rPr>
              <w:t>o účasti na formálním vzdělávání</w:t>
            </w:r>
            <w:r w:rsidR="00C5332D" w:rsidRPr="00025B12">
              <w:rPr>
                <w:rFonts w:ascii="Verdana" w:hAnsi="Verdana"/>
                <w:sz w:val="18"/>
                <w:szCs w:val="18"/>
              </w:rPr>
              <w:t xml:space="preserve"> (viz definice v</w:t>
            </w:r>
            <w:r w:rsidR="00326A86" w:rsidRPr="00025B12">
              <w:rPr>
                <w:rFonts w:ascii="Verdana" w:hAnsi="Verdana"/>
                <w:sz w:val="18"/>
                <w:szCs w:val="18"/>
              </w:rPr>
              <w:t> </w:t>
            </w:r>
            <w:r w:rsidR="00C5332D" w:rsidRPr="00025B12">
              <w:rPr>
                <w:rFonts w:ascii="Verdana" w:hAnsi="Verdana"/>
                <w:sz w:val="18"/>
                <w:szCs w:val="18"/>
              </w:rPr>
              <w:t>příloze</w:t>
            </w:r>
            <w:r w:rsidR="00326A86" w:rsidRPr="00025B12">
              <w:rPr>
                <w:rFonts w:ascii="Verdana" w:hAnsi="Verdana"/>
                <w:sz w:val="18"/>
                <w:szCs w:val="18"/>
              </w:rPr>
              <w:t xml:space="preserve"> 2</w:t>
            </w:r>
            <w:r w:rsidR="00C5332D" w:rsidRPr="00025B12">
              <w:rPr>
                <w:rFonts w:ascii="Verdana" w:hAnsi="Verdana"/>
                <w:sz w:val="18"/>
                <w:szCs w:val="18"/>
              </w:rPr>
              <w:t>), i</w:t>
            </w:r>
            <w:r w:rsidRPr="00025B12">
              <w:rPr>
                <w:rFonts w:ascii="Verdana" w:hAnsi="Verdana"/>
                <w:sz w:val="18"/>
                <w:szCs w:val="18"/>
              </w:rPr>
              <w:t>nformuje nás tak o míře zvyšování formální kvalifikace populace v dospělém věku. V mezinárodním srovnání může být mírně zkreslen, protože studenti počátečního vzdělávání mohou v různých zemích dokončovat v určité míře počáteční vzdělávání i po 25. roce věku.</w:t>
            </w:r>
          </w:p>
        </w:tc>
      </w:tr>
      <w:tr w:rsidR="00A9209D" w:rsidRPr="00025B12" w:rsidTr="00F5237C">
        <w:trPr>
          <w:trHeight w:val="992"/>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A9209D" w:rsidRPr="00025B12" w:rsidRDefault="00A9209D" w:rsidP="00A9209D">
            <w:pPr>
              <w:jc w:val="both"/>
              <w:rPr>
                <w:rFonts w:ascii="Verdana" w:hAnsi="Verdana"/>
                <w:sz w:val="18"/>
                <w:szCs w:val="18"/>
              </w:rPr>
            </w:pPr>
            <w:r w:rsidRPr="00025B12">
              <w:rPr>
                <w:rFonts w:ascii="Verdana" w:hAnsi="Verdana"/>
                <w:sz w:val="18"/>
                <w:szCs w:val="18"/>
              </w:rPr>
              <w:t>Indikátor je vypočítán jako podíl osob, které se v uplynulých 4 týdnech účastnily jakékoli formálního dalšího vzdělávání, na populaci ve věku 25-64 let a uváděn v %.</w:t>
            </w:r>
          </w:p>
        </w:tc>
      </w:tr>
      <w:tr w:rsidR="00A9209D" w:rsidRPr="00025B12" w:rsidTr="00F5237C">
        <w:trPr>
          <w:trHeight w:val="1053"/>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A9209D" w:rsidRPr="00025B12" w:rsidRDefault="00A9209D" w:rsidP="000A3C2C">
            <w:pPr>
              <w:jc w:val="both"/>
              <w:rPr>
                <w:rFonts w:ascii="Verdana" w:hAnsi="Verdana"/>
                <w:sz w:val="18"/>
                <w:szCs w:val="18"/>
              </w:rPr>
            </w:pPr>
            <w:r w:rsidRPr="00025B12">
              <w:rPr>
                <w:rFonts w:ascii="Verdana" w:hAnsi="Verdana"/>
                <w:sz w:val="18"/>
                <w:szCs w:val="18"/>
              </w:rPr>
              <w:t xml:space="preserve">Výhodou indikátoru jsou poměrně dlouhé dostupné časové řady a každoroční publikace. Krajské členění je nicméně statistickou spolehlivostí již dotčeno a dochází k nestabilitě časových řad. Perspektivnější by bylo proto začlenění otázky vztahující se k účasti v posledních 12 měsících do Výběrového šetření pracovních sil a </w:t>
            </w:r>
            <w:r w:rsidR="000A3C2C" w:rsidRPr="00025B12">
              <w:rPr>
                <w:rFonts w:ascii="Verdana" w:hAnsi="Verdana"/>
                <w:sz w:val="18"/>
                <w:szCs w:val="18"/>
              </w:rPr>
              <w:t xml:space="preserve">výměna za </w:t>
            </w:r>
            <w:r w:rsidRPr="00025B12">
              <w:rPr>
                <w:rFonts w:ascii="Verdana" w:hAnsi="Verdana"/>
                <w:sz w:val="18"/>
                <w:szCs w:val="18"/>
              </w:rPr>
              <w:t xml:space="preserve"> indikátor IV.1.1.</w:t>
            </w:r>
          </w:p>
        </w:tc>
      </w:tr>
      <w:tr w:rsidR="00A9209D" w:rsidRPr="00025B12" w:rsidTr="00F5237C">
        <w:trPr>
          <w:trHeight w:val="837"/>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A9209D" w:rsidRPr="00025B12" w:rsidRDefault="00A9209D" w:rsidP="00A9209D">
            <w:pPr>
              <w:jc w:val="both"/>
              <w:rPr>
                <w:rFonts w:ascii="Verdana" w:hAnsi="Verdana"/>
                <w:sz w:val="18"/>
                <w:szCs w:val="18"/>
              </w:rPr>
            </w:pPr>
            <w:r w:rsidRPr="00025B12">
              <w:rPr>
                <w:rFonts w:ascii="Verdana" w:hAnsi="Verdana"/>
                <w:sz w:val="18"/>
                <w:szCs w:val="18"/>
              </w:rPr>
              <w:t>Indikátor je dotčen stejnými omezeními, jako indikátor IV.0.1. Problém statistické spolehlivosti je zde ještě výraznější, neboť dalšího formálního vzdělávání se účastní skutečně malé procento</w:t>
            </w:r>
            <w:r w:rsidR="000A3C2C" w:rsidRPr="00025B12">
              <w:rPr>
                <w:rFonts w:ascii="Verdana" w:hAnsi="Verdana"/>
                <w:sz w:val="18"/>
                <w:szCs w:val="18"/>
              </w:rPr>
              <w:t xml:space="preserve"> lidí. Hodnoty indikátoru IV.1.d2</w:t>
            </w:r>
            <w:r w:rsidRPr="00025B12">
              <w:rPr>
                <w:rFonts w:ascii="Verdana" w:hAnsi="Verdana"/>
                <w:sz w:val="18"/>
                <w:szCs w:val="18"/>
              </w:rPr>
              <w:t>, který vypovídá o účasti na formálním vzdělávání v průběhu posledních 12 měsíců, jsou přibližně dvojnásobné.</w:t>
            </w:r>
          </w:p>
        </w:tc>
      </w:tr>
    </w:tbl>
    <w:p w:rsidR="00A9209D" w:rsidRPr="00025B12" w:rsidRDefault="00A9209D" w:rsidP="00A9209D"/>
    <w:p w:rsidR="00A9209D" w:rsidRPr="00025B12" w:rsidRDefault="00A9209D" w:rsidP="00A9209D">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1741"/>
        <w:gridCol w:w="2280"/>
        <w:gridCol w:w="2101"/>
        <w:gridCol w:w="1723"/>
      </w:tblGrid>
      <w:tr w:rsidR="00A9209D" w:rsidRPr="00025B12" w:rsidTr="00F5237C">
        <w:trPr>
          <w:trHeight w:val="425"/>
        </w:trPr>
        <w:tc>
          <w:tcPr>
            <w:tcW w:w="1443" w:type="dxa"/>
            <w:tcBorders>
              <w:bottom w:val="single" w:sz="4" w:space="0" w:color="auto"/>
              <w:right w:val="single" w:sz="4" w:space="0" w:color="auto"/>
            </w:tcBorders>
            <w:shd w:val="clear" w:color="auto" w:fill="663399"/>
            <w:vAlign w:val="center"/>
          </w:tcPr>
          <w:p w:rsidR="00A9209D" w:rsidRPr="00025B12" w:rsidRDefault="00A9209D" w:rsidP="00A9209D">
            <w:pPr>
              <w:pStyle w:val="Kd"/>
              <w:rPr>
                <w:sz w:val="18"/>
                <w:szCs w:val="18"/>
              </w:rPr>
            </w:pPr>
            <w:r w:rsidRPr="00025B12">
              <w:rPr>
                <w:sz w:val="18"/>
                <w:szCs w:val="18"/>
              </w:rPr>
              <w:br w:type="page"/>
            </w:r>
            <w:r w:rsidRPr="00025B12">
              <w:rPr>
                <w:sz w:val="18"/>
                <w:szCs w:val="18"/>
              </w:rPr>
              <w:br w:type="page"/>
            </w:r>
            <w:bookmarkStart w:id="119" w:name="IV15"/>
            <w:r w:rsidRPr="00025B12">
              <w:rPr>
                <w:sz w:val="18"/>
                <w:szCs w:val="18"/>
              </w:rPr>
              <w:t>IV.1.</w:t>
            </w:r>
            <w:bookmarkEnd w:id="119"/>
            <w:r w:rsidR="00741F81" w:rsidRPr="00025B12">
              <w:rPr>
                <w:sz w:val="18"/>
                <w:szCs w:val="18"/>
              </w:rPr>
              <w:t>d4</w:t>
            </w:r>
          </w:p>
        </w:tc>
        <w:tc>
          <w:tcPr>
            <w:tcW w:w="7845" w:type="dxa"/>
            <w:gridSpan w:val="4"/>
            <w:vMerge w:val="restart"/>
            <w:tcBorders>
              <w:top w:val="single" w:sz="4" w:space="0" w:color="auto"/>
              <w:left w:val="single" w:sz="4" w:space="0" w:color="auto"/>
              <w:right w:val="single" w:sz="4" w:space="0" w:color="auto"/>
            </w:tcBorders>
            <w:shd w:val="clear" w:color="auto" w:fill="663399"/>
            <w:vAlign w:val="center"/>
          </w:tcPr>
          <w:p w:rsidR="00A9209D" w:rsidRPr="00025B12" w:rsidRDefault="00A9209D"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Podíl absolventů starších 30 let na všech absolventech terciárního vzdělávání</w:t>
            </w:r>
          </w:p>
        </w:tc>
      </w:tr>
      <w:tr w:rsidR="00A9209D" w:rsidRPr="00025B12" w:rsidTr="00F5237C">
        <w:trPr>
          <w:trHeight w:val="360"/>
        </w:trPr>
        <w:tc>
          <w:tcPr>
            <w:tcW w:w="1443" w:type="dxa"/>
            <w:tcBorders>
              <w:top w:val="single" w:sz="4" w:space="0" w:color="auto"/>
              <w:bottom w:val="single" w:sz="4" w:space="0" w:color="auto"/>
              <w:right w:val="single" w:sz="4" w:space="0" w:color="auto"/>
            </w:tcBorders>
            <w:shd w:val="clear" w:color="auto" w:fill="663399"/>
            <w:vAlign w:val="center"/>
          </w:tcPr>
          <w:p w:rsidR="00A9209D" w:rsidRPr="00025B12" w:rsidRDefault="00625F3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45" w:type="dxa"/>
            <w:gridSpan w:val="4"/>
            <w:vMerge/>
            <w:tcBorders>
              <w:left w:val="single" w:sz="4" w:space="0" w:color="auto"/>
              <w:bottom w:val="single" w:sz="4" w:space="0" w:color="auto"/>
              <w:right w:val="single"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6E246D">
        <w:trPr>
          <w:trHeight w:val="360"/>
        </w:trPr>
        <w:tc>
          <w:tcPr>
            <w:tcW w:w="1443" w:type="dxa"/>
            <w:tcBorders>
              <w:top w:val="single"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p>
        </w:tc>
        <w:tc>
          <w:tcPr>
            <w:tcW w:w="1741"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80"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01"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23" w:type="dxa"/>
            <w:tcBorders>
              <w:top w:val="single" w:sz="4" w:space="0" w:color="auto"/>
              <w:left w:val="dotted" w:sz="4" w:space="0" w:color="auto"/>
              <w:bottom w:val="dotted" w:sz="4" w:space="0" w:color="auto"/>
            </w:tcBorders>
            <w:vAlign w:val="center"/>
          </w:tcPr>
          <w:p w:rsidR="00A9209D" w:rsidRPr="00025B12" w:rsidRDefault="00A9209D" w:rsidP="006E246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A9209D" w:rsidRPr="00025B12" w:rsidTr="006E246D">
        <w:trPr>
          <w:trHeight w:val="360"/>
        </w:trPr>
        <w:tc>
          <w:tcPr>
            <w:tcW w:w="1443" w:type="dxa"/>
            <w:tcBorders>
              <w:top w:val="dotted"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741" w:type="dxa"/>
            <w:tcBorders>
              <w:top w:val="dotted" w:sz="4" w:space="0" w:color="auto"/>
              <w:left w:val="dotted" w:sz="4" w:space="0" w:color="auto"/>
              <w:bottom w:val="dotted" w:sz="4" w:space="0" w:color="auto"/>
              <w:right w:val="dotted" w:sz="4" w:space="0" w:color="auto"/>
            </w:tcBorders>
            <w:vAlign w:val="center"/>
          </w:tcPr>
          <w:p w:rsidR="00A9209D" w:rsidRPr="00025B12" w:rsidRDefault="00665F1D" w:rsidP="00A9209D">
            <w:pPr>
              <w:spacing w:after="0" w:line="240" w:lineRule="auto"/>
              <w:jc w:val="center"/>
              <w:rPr>
                <w:rFonts w:ascii="Verdana" w:eastAsiaTheme="minorHAnsi" w:hAnsi="Verdana" w:cstheme="minorBidi"/>
                <w:sz w:val="18"/>
                <w:szCs w:val="18"/>
              </w:rPr>
            </w:pPr>
            <w:hyperlink w:anchor="UOE" w:history="1">
              <w:r w:rsidR="00F5237C" w:rsidRPr="00025B12">
                <w:rPr>
                  <w:rStyle w:val="Hypertextovodkaz"/>
                  <w:rFonts w:ascii="Verdana" w:eastAsiaTheme="minorHAnsi" w:hAnsi="Verdana" w:cstheme="minorBidi"/>
                  <w:sz w:val="18"/>
                  <w:szCs w:val="18"/>
                </w:rPr>
                <w:t>Databáze U</w:t>
              </w:r>
              <w:r w:rsidR="00A9209D" w:rsidRPr="00025B12">
                <w:rPr>
                  <w:rStyle w:val="Hypertextovodkaz"/>
                  <w:rFonts w:ascii="Verdana" w:eastAsiaTheme="minorHAnsi" w:hAnsi="Verdana" w:cstheme="minorBidi"/>
                  <w:sz w:val="18"/>
                  <w:szCs w:val="18"/>
                </w:rPr>
                <w:t>O</w:t>
              </w:r>
              <w:r w:rsidR="00F5237C" w:rsidRPr="00025B12">
                <w:rPr>
                  <w:rStyle w:val="Hypertextovodkaz"/>
                  <w:rFonts w:ascii="Verdana" w:eastAsiaTheme="minorHAnsi" w:hAnsi="Verdana" w:cstheme="minorBidi"/>
                  <w:sz w:val="18"/>
                  <w:szCs w:val="18"/>
                </w:rPr>
                <w:t>E</w:t>
              </w:r>
            </w:hyperlink>
          </w:p>
        </w:tc>
        <w:tc>
          <w:tcPr>
            <w:tcW w:w="2280"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01"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23" w:type="dxa"/>
            <w:tcBorders>
              <w:top w:val="dotted" w:sz="4" w:space="0" w:color="auto"/>
              <w:left w:val="dotted" w:sz="4" w:space="0" w:color="auto"/>
              <w:bottom w:val="dotted" w:sz="4" w:space="0" w:color="auto"/>
            </w:tcBorders>
            <w:vAlign w:val="center"/>
          </w:tcPr>
          <w:p w:rsidR="00A9209D" w:rsidRPr="00025B12" w:rsidRDefault="00A9209D" w:rsidP="006E246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2000</w:t>
            </w:r>
          </w:p>
        </w:tc>
      </w:tr>
      <w:tr w:rsidR="00A9209D" w:rsidRPr="00025B12" w:rsidTr="006E246D">
        <w:trPr>
          <w:trHeight w:val="360"/>
        </w:trPr>
        <w:tc>
          <w:tcPr>
            <w:tcW w:w="1443" w:type="dxa"/>
            <w:tcBorders>
              <w:top w:val="dotted"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741" w:type="dxa"/>
            <w:tcBorders>
              <w:top w:val="dotted" w:sz="4" w:space="0" w:color="auto"/>
              <w:left w:val="dotted" w:sz="4" w:space="0" w:color="auto"/>
              <w:bottom w:val="dotted" w:sz="4" w:space="0" w:color="auto"/>
              <w:right w:val="dotted" w:sz="4" w:space="0" w:color="auto"/>
            </w:tcBorders>
            <w:vAlign w:val="center"/>
          </w:tcPr>
          <w:p w:rsidR="00A9209D" w:rsidRPr="00025B12" w:rsidRDefault="00665F1D" w:rsidP="00A9209D">
            <w:pPr>
              <w:spacing w:after="0" w:line="240" w:lineRule="auto"/>
              <w:jc w:val="center"/>
              <w:rPr>
                <w:rFonts w:ascii="Verdana" w:eastAsiaTheme="minorHAnsi" w:hAnsi="Verdana" w:cstheme="minorBidi"/>
                <w:sz w:val="18"/>
                <w:szCs w:val="18"/>
              </w:rPr>
            </w:pPr>
            <w:hyperlink w:anchor="Databáze_UIV" w:history="1">
              <w:r w:rsidR="00A9209D" w:rsidRPr="00025B12">
                <w:rPr>
                  <w:rStyle w:val="Hypertextovodkaz"/>
                  <w:rFonts w:ascii="Verdana" w:eastAsiaTheme="minorHAnsi" w:hAnsi="Verdana" w:cstheme="minorBidi"/>
                  <w:sz w:val="18"/>
                  <w:szCs w:val="18"/>
                </w:rPr>
                <w:t>Databáze ÚIV</w:t>
              </w:r>
            </w:hyperlink>
          </w:p>
        </w:tc>
        <w:tc>
          <w:tcPr>
            <w:tcW w:w="2280"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ÚIV</w:t>
            </w:r>
          </w:p>
        </w:tc>
        <w:tc>
          <w:tcPr>
            <w:tcW w:w="2101"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 xml:space="preserve">1 rok </w:t>
            </w:r>
          </w:p>
        </w:tc>
        <w:tc>
          <w:tcPr>
            <w:tcW w:w="1723" w:type="dxa"/>
            <w:tcBorders>
              <w:top w:val="dotted" w:sz="4" w:space="0" w:color="auto"/>
              <w:left w:val="dotted" w:sz="4" w:space="0" w:color="auto"/>
              <w:bottom w:val="dotted" w:sz="4" w:space="0" w:color="auto"/>
            </w:tcBorders>
            <w:vAlign w:val="center"/>
          </w:tcPr>
          <w:p w:rsidR="00A9209D" w:rsidRPr="00025B12" w:rsidRDefault="00A9209D" w:rsidP="006E246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2000</w:t>
            </w:r>
          </w:p>
        </w:tc>
      </w:tr>
      <w:tr w:rsidR="00F5237C" w:rsidRPr="00025B12" w:rsidTr="006E246D">
        <w:trPr>
          <w:trHeight w:val="360"/>
        </w:trPr>
        <w:tc>
          <w:tcPr>
            <w:tcW w:w="1443" w:type="dxa"/>
            <w:tcBorders>
              <w:top w:val="dotted" w:sz="4" w:space="0" w:color="auto"/>
              <w:right w:val="dotted" w:sz="4" w:space="0" w:color="auto"/>
            </w:tcBorders>
          </w:tcPr>
          <w:p w:rsidR="00F5237C" w:rsidRPr="00025B12" w:rsidRDefault="00F5237C"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741" w:type="dxa"/>
            <w:tcBorders>
              <w:top w:val="dotted" w:sz="4" w:space="0" w:color="auto"/>
              <w:left w:val="dotted" w:sz="4" w:space="0" w:color="auto"/>
              <w:right w:val="dotted" w:sz="4" w:space="0" w:color="auto"/>
            </w:tcBorders>
            <w:vAlign w:val="center"/>
          </w:tcPr>
          <w:p w:rsidR="00F5237C" w:rsidRPr="00025B12" w:rsidRDefault="00665F1D" w:rsidP="005F2F0A">
            <w:pPr>
              <w:spacing w:after="0" w:line="240" w:lineRule="auto"/>
              <w:jc w:val="center"/>
              <w:rPr>
                <w:rFonts w:ascii="Verdana" w:eastAsiaTheme="minorHAnsi" w:hAnsi="Verdana" w:cstheme="minorBidi"/>
                <w:sz w:val="18"/>
                <w:szCs w:val="18"/>
              </w:rPr>
            </w:pPr>
            <w:hyperlink w:anchor="Databáze_UIV" w:history="1">
              <w:r w:rsidR="00F5237C" w:rsidRPr="00025B12">
                <w:rPr>
                  <w:rStyle w:val="Hypertextovodkaz"/>
                  <w:rFonts w:ascii="Verdana" w:eastAsiaTheme="minorHAnsi" w:hAnsi="Verdana" w:cstheme="minorBidi"/>
                  <w:sz w:val="18"/>
                  <w:szCs w:val="18"/>
                </w:rPr>
                <w:t>Databáze ÚIV</w:t>
              </w:r>
            </w:hyperlink>
          </w:p>
        </w:tc>
        <w:tc>
          <w:tcPr>
            <w:tcW w:w="2280" w:type="dxa"/>
            <w:tcBorders>
              <w:top w:val="dotted" w:sz="4" w:space="0" w:color="auto"/>
              <w:left w:val="dotted" w:sz="4" w:space="0" w:color="auto"/>
              <w:right w:val="dotted" w:sz="4" w:space="0" w:color="auto"/>
            </w:tcBorders>
            <w:vAlign w:val="center"/>
          </w:tcPr>
          <w:p w:rsidR="00F5237C" w:rsidRPr="00025B12" w:rsidRDefault="00F5237C"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ÚIV</w:t>
            </w:r>
          </w:p>
        </w:tc>
        <w:tc>
          <w:tcPr>
            <w:tcW w:w="2101" w:type="dxa"/>
            <w:tcBorders>
              <w:top w:val="dotted" w:sz="4" w:space="0" w:color="auto"/>
              <w:left w:val="dotted" w:sz="4" w:space="0" w:color="auto"/>
              <w:right w:val="dotted" w:sz="4" w:space="0" w:color="auto"/>
            </w:tcBorders>
            <w:vAlign w:val="center"/>
          </w:tcPr>
          <w:p w:rsidR="00F5237C" w:rsidRPr="00025B12" w:rsidRDefault="00F5237C"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 xml:space="preserve">1 rok </w:t>
            </w:r>
          </w:p>
        </w:tc>
        <w:tc>
          <w:tcPr>
            <w:tcW w:w="1723" w:type="dxa"/>
            <w:tcBorders>
              <w:top w:val="dotted" w:sz="4" w:space="0" w:color="auto"/>
              <w:left w:val="dotted" w:sz="4" w:space="0" w:color="auto"/>
            </w:tcBorders>
            <w:vAlign w:val="center"/>
          </w:tcPr>
          <w:p w:rsidR="00F5237C" w:rsidRPr="00025B12" w:rsidRDefault="00F5237C" w:rsidP="006E246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2000</w:t>
            </w:r>
          </w:p>
        </w:tc>
      </w:tr>
      <w:tr w:rsidR="00A9209D" w:rsidRPr="00025B12" w:rsidTr="00F5237C">
        <w:trPr>
          <w:trHeight w:val="274"/>
        </w:trPr>
        <w:tc>
          <w:tcPr>
            <w:tcW w:w="9288" w:type="dxa"/>
            <w:gridSpan w:val="5"/>
            <w:shd w:val="clear" w:color="auto" w:fill="663399"/>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F5237C">
        <w:trPr>
          <w:trHeight w:val="1319"/>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A9209D" w:rsidRPr="00025B12" w:rsidRDefault="00A9209D" w:rsidP="00A9209D">
            <w:pPr>
              <w:jc w:val="both"/>
              <w:rPr>
                <w:rFonts w:ascii="Verdana" w:hAnsi="Verdana"/>
                <w:sz w:val="18"/>
                <w:szCs w:val="18"/>
              </w:rPr>
            </w:pPr>
            <w:r w:rsidRPr="00025B12">
              <w:rPr>
                <w:rFonts w:ascii="Verdana" w:hAnsi="Verdana"/>
                <w:sz w:val="18"/>
                <w:szCs w:val="18"/>
              </w:rPr>
              <w:t xml:space="preserve">Rovněž tento indikátor se snaží odhadovat účast na dalším terciárním vzdělávání na základě věku jeho účastníků. Vychází z toho, že absolventi starší 30 let (bez ohledu na to, zda proces vzdělávání od počátečního přerušili nebo ne) už z převážné většiny kombinují studium s prací a jejich studium proto má aspekty dalšího vzdělávání. </w:t>
            </w:r>
          </w:p>
        </w:tc>
      </w:tr>
      <w:tr w:rsidR="00A9209D" w:rsidRPr="00025B12" w:rsidTr="00F5237C">
        <w:trPr>
          <w:trHeight w:val="992"/>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A9209D" w:rsidRPr="00025B12" w:rsidRDefault="00A9209D" w:rsidP="00A9209D">
            <w:pPr>
              <w:jc w:val="both"/>
              <w:rPr>
                <w:rFonts w:ascii="Verdana" w:hAnsi="Verdana"/>
                <w:sz w:val="18"/>
                <w:szCs w:val="18"/>
              </w:rPr>
            </w:pPr>
            <w:r w:rsidRPr="00025B12">
              <w:rPr>
                <w:rFonts w:ascii="Verdana" w:hAnsi="Verdana"/>
                <w:sz w:val="18"/>
                <w:szCs w:val="18"/>
              </w:rPr>
              <w:t>Indikátor se počítá jako podíl absolventů terciárního vzdělávání starších třiceti let na všech absolventech terciárního vzdělávání v daném roce a je uváděn v %. Do terciárního vzdělávání se počítají programy na úrovni ISCED 5 a 6, kterému v českém prostředí odpovídají vyšší odborné školy a všechny stupně vysokoškolského studia). Metodiku indikátor v této podobě používá Eurostat.</w:t>
            </w:r>
          </w:p>
        </w:tc>
      </w:tr>
      <w:tr w:rsidR="00A9209D" w:rsidRPr="00025B12" w:rsidTr="00F5237C">
        <w:trPr>
          <w:trHeight w:val="423"/>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A9209D" w:rsidRPr="00025B12" w:rsidRDefault="00A9209D" w:rsidP="00A9209D">
            <w:pPr>
              <w:jc w:val="both"/>
              <w:rPr>
                <w:rFonts w:ascii="Verdana" w:hAnsi="Verdana"/>
                <w:sz w:val="18"/>
                <w:szCs w:val="18"/>
              </w:rPr>
            </w:pPr>
            <w:r w:rsidRPr="00025B12">
              <w:rPr>
                <w:rFonts w:ascii="Verdana" w:hAnsi="Verdana"/>
                <w:sz w:val="18"/>
                <w:szCs w:val="18"/>
              </w:rPr>
              <w:t>Na mezinárodní úrovni jsou používána data ze sběru UOE (Unesco, OECD, Eurostat). Jedná se o administrativní data ze školského systému, v ČR zajišťuje sběr dat Ústav pro informace ve vzdělávání prostřednictvím matriky studentů. Data jsou přímo v podobě tohoto indikátoru publikována na Eurostatu.</w:t>
            </w:r>
          </w:p>
          <w:p w:rsidR="00A9209D" w:rsidRPr="00025B12" w:rsidRDefault="00A9209D" w:rsidP="00A9209D">
            <w:pPr>
              <w:jc w:val="both"/>
              <w:rPr>
                <w:rFonts w:ascii="Verdana" w:hAnsi="Verdana"/>
                <w:sz w:val="18"/>
                <w:szCs w:val="18"/>
              </w:rPr>
            </w:pPr>
            <w:r w:rsidRPr="00025B12">
              <w:rPr>
                <w:rFonts w:ascii="Verdana" w:hAnsi="Verdana"/>
                <w:sz w:val="18"/>
                <w:szCs w:val="18"/>
              </w:rPr>
              <w:t>Na krajské úrovni je problém s přiřazováním jednotlivých škol ke krajům. Ideální by pro výpočet indikátoru bylo získat z matriky studentů údaje o věkové struktuře absolventů terciárního vzdělávání podle kraje jejich bydliště a místa výuky. Matrika by tyto údaje měla obsahovat, nejsou však v současné době publikovány. Publikována je pouze věková struktura absolventů jednotlivých škol, školy je však v některých případech problémem vztáhnout ke kraji. Pro výpočet indikátoru v Příloze 3 byl proto proveden zástupný výpočet na základě dat z Výběrového šetření pracovních sil. Tabulka obsahuje informace o počtu studentů terciárního vzdělávání starších třiceti let. Byl proveden i pokus dopočíst absolventy, jejich počty jsou však v krajském členění ze statistického hlediska málo spolehlivé.</w:t>
            </w:r>
          </w:p>
        </w:tc>
      </w:tr>
      <w:tr w:rsidR="00A9209D" w:rsidRPr="00025B12" w:rsidTr="00F5237C">
        <w:trPr>
          <w:trHeight w:val="837"/>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A9209D" w:rsidRPr="00025B12" w:rsidRDefault="00A9209D" w:rsidP="00A9209D">
            <w:pPr>
              <w:jc w:val="both"/>
              <w:rPr>
                <w:rFonts w:ascii="Verdana" w:hAnsi="Verdana"/>
                <w:sz w:val="18"/>
                <w:szCs w:val="18"/>
              </w:rPr>
            </w:pPr>
            <w:r w:rsidRPr="00025B12">
              <w:rPr>
                <w:rFonts w:ascii="Verdana" w:hAnsi="Verdana"/>
                <w:sz w:val="18"/>
                <w:szCs w:val="18"/>
              </w:rPr>
              <w:t>-</w:t>
            </w:r>
          </w:p>
        </w:tc>
      </w:tr>
    </w:tbl>
    <w:p w:rsidR="00A9209D" w:rsidRPr="00025B12" w:rsidRDefault="00A9209D" w:rsidP="00A9209D"/>
    <w:p w:rsidR="00C43089" w:rsidRPr="00025B12" w:rsidRDefault="00A9209D" w:rsidP="000C6631">
      <w:pPr>
        <w:jc w:val="both"/>
        <w:outlineLvl w:val="0"/>
        <w:rPr>
          <w:rFonts w:ascii="Verdana" w:hAnsi="Verdana"/>
          <w:b/>
          <w:sz w:val="24"/>
          <w:szCs w:val="24"/>
        </w:rPr>
      </w:pPr>
      <w:r w:rsidRPr="00025B12">
        <w:br w:type="page"/>
      </w:r>
      <w:r w:rsidR="00C43089" w:rsidRPr="00025B12">
        <w:rPr>
          <w:rFonts w:ascii="Verdana" w:hAnsi="Verdana"/>
          <w:b/>
          <w:sz w:val="24"/>
          <w:szCs w:val="24"/>
        </w:rPr>
        <w:lastRenderedPageBreak/>
        <w:t>IV.2 Účast na neformálním vzdělávání</w:t>
      </w:r>
    </w:p>
    <w:p w:rsidR="00A9209D" w:rsidRPr="00025B12" w:rsidRDefault="00A9209D" w:rsidP="00A920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684"/>
        <w:gridCol w:w="2295"/>
        <w:gridCol w:w="2118"/>
        <w:gridCol w:w="1740"/>
      </w:tblGrid>
      <w:tr w:rsidR="00A9209D" w:rsidRPr="00025B12" w:rsidTr="000F37E9">
        <w:trPr>
          <w:trHeight w:val="425"/>
        </w:trPr>
        <w:tc>
          <w:tcPr>
            <w:tcW w:w="1451" w:type="dxa"/>
            <w:tcBorders>
              <w:bottom w:val="single" w:sz="4" w:space="0" w:color="auto"/>
              <w:right w:val="single" w:sz="4" w:space="0" w:color="auto"/>
            </w:tcBorders>
            <w:shd w:val="clear" w:color="auto" w:fill="663399"/>
            <w:vAlign w:val="center"/>
          </w:tcPr>
          <w:p w:rsidR="00A9209D" w:rsidRPr="00025B12" w:rsidRDefault="00A9209D" w:rsidP="00A9209D">
            <w:pPr>
              <w:pStyle w:val="Kd"/>
              <w:rPr>
                <w:sz w:val="18"/>
                <w:szCs w:val="18"/>
              </w:rPr>
            </w:pPr>
            <w:r w:rsidRPr="00025B12">
              <w:rPr>
                <w:sz w:val="18"/>
                <w:szCs w:val="18"/>
              </w:rPr>
              <w:br w:type="page"/>
            </w:r>
            <w:r w:rsidRPr="00025B12">
              <w:rPr>
                <w:sz w:val="18"/>
                <w:szCs w:val="18"/>
              </w:rPr>
              <w:br w:type="page"/>
            </w:r>
            <w:bookmarkStart w:id="120" w:name="IV21"/>
            <w:r w:rsidRPr="00025B12">
              <w:rPr>
                <w:sz w:val="18"/>
                <w:szCs w:val="18"/>
              </w:rPr>
              <w:t>IV.2.1</w:t>
            </w:r>
            <w:bookmarkEnd w:id="120"/>
          </w:p>
        </w:tc>
        <w:tc>
          <w:tcPr>
            <w:tcW w:w="7837" w:type="dxa"/>
            <w:gridSpan w:val="4"/>
            <w:vMerge w:val="restart"/>
            <w:tcBorders>
              <w:top w:val="single" w:sz="4" w:space="0" w:color="auto"/>
              <w:left w:val="single" w:sz="4" w:space="0" w:color="auto"/>
              <w:right w:val="single" w:sz="4" w:space="0" w:color="auto"/>
            </w:tcBorders>
            <w:shd w:val="clear" w:color="auto" w:fill="663399"/>
            <w:vAlign w:val="center"/>
          </w:tcPr>
          <w:p w:rsidR="00A9209D" w:rsidRPr="00025B12" w:rsidRDefault="00A9209D"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Účast dospělé populace na neformálním vzdělávání v posledních 4 týdnech</w:t>
            </w:r>
          </w:p>
        </w:tc>
      </w:tr>
      <w:tr w:rsidR="00A9209D" w:rsidRPr="00025B12" w:rsidTr="000F37E9">
        <w:trPr>
          <w:trHeight w:val="360"/>
        </w:trPr>
        <w:tc>
          <w:tcPr>
            <w:tcW w:w="1451" w:type="dxa"/>
            <w:tcBorders>
              <w:top w:val="single" w:sz="4" w:space="0" w:color="auto"/>
              <w:bottom w:val="single" w:sz="4" w:space="0" w:color="auto"/>
              <w:right w:val="single" w:sz="4" w:space="0" w:color="auto"/>
            </w:tcBorders>
            <w:shd w:val="clear" w:color="auto" w:fill="663399"/>
            <w:vAlign w:val="center"/>
          </w:tcPr>
          <w:p w:rsidR="00A9209D" w:rsidRPr="00025B12" w:rsidRDefault="00625F3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37" w:type="dxa"/>
            <w:gridSpan w:val="4"/>
            <w:vMerge/>
            <w:tcBorders>
              <w:left w:val="single" w:sz="4" w:space="0" w:color="auto"/>
              <w:bottom w:val="single" w:sz="4" w:space="0" w:color="auto"/>
              <w:right w:val="single"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6E246D">
        <w:trPr>
          <w:trHeight w:val="360"/>
        </w:trPr>
        <w:tc>
          <w:tcPr>
            <w:tcW w:w="1451" w:type="dxa"/>
            <w:tcBorders>
              <w:top w:val="single"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p>
        </w:tc>
        <w:tc>
          <w:tcPr>
            <w:tcW w:w="1684"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95"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8"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0" w:type="dxa"/>
            <w:tcBorders>
              <w:top w:val="single" w:sz="4" w:space="0" w:color="auto"/>
              <w:left w:val="dotted" w:sz="4" w:space="0" w:color="auto"/>
              <w:bottom w:val="dotted" w:sz="4" w:space="0" w:color="auto"/>
            </w:tcBorders>
            <w:vAlign w:val="center"/>
          </w:tcPr>
          <w:p w:rsidR="00A9209D" w:rsidRPr="00025B12" w:rsidRDefault="00A9209D" w:rsidP="006E246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A9209D" w:rsidRPr="00025B12" w:rsidTr="006E246D">
        <w:trPr>
          <w:trHeight w:val="360"/>
        </w:trPr>
        <w:tc>
          <w:tcPr>
            <w:tcW w:w="1451" w:type="dxa"/>
            <w:tcBorders>
              <w:top w:val="dotted"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84" w:type="dxa"/>
            <w:tcBorders>
              <w:top w:val="dotted" w:sz="4" w:space="0" w:color="auto"/>
              <w:left w:val="dotted" w:sz="4" w:space="0" w:color="auto"/>
              <w:bottom w:val="dotted" w:sz="4" w:space="0" w:color="auto"/>
              <w:right w:val="dotted" w:sz="4" w:space="0" w:color="auto"/>
            </w:tcBorders>
            <w:vAlign w:val="center"/>
          </w:tcPr>
          <w:p w:rsidR="00A9209D" w:rsidRPr="00025B12" w:rsidRDefault="00665F1D" w:rsidP="00A9209D">
            <w:pPr>
              <w:spacing w:after="0" w:line="240" w:lineRule="auto"/>
              <w:jc w:val="center"/>
              <w:rPr>
                <w:rFonts w:ascii="Verdana" w:eastAsiaTheme="minorHAnsi" w:hAnsi="Verdana" w:cstheme="minorBidi"/>
                <w:sz w:val="18"/>
                <w:szCs w:val="18"/>
              </w:rPr>
            </w:pPr>
            <w:hyperlink w:anchor="VŠPS" w:history="1">
              <w:r w:rsidR="00A9209D" w:rsidRPr="00025B12">
                <w:rPr>
                  <w:rStyle w:val="Hypertextovodkaz"/>
                  <w:rFonts w:ascii="Verdana" w:eastAsiaTheme="minorHAnsi" w:hAnsi="Verdana" w:cstheme="minorBidi"/>
                  <w:sz w:val="18"/>
                  <w:szCs w:val="18"/>
                </w:rPr>
                <w:t>LFS (VŠPS)</w:t>
              </w:r>
            </w:hyperlink>
          </w:p>
        </w:tc>
        <w:tc>
          <w:tcPr>
            <w:tcW w:w="2295"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18"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0" w:type="dxa"/>
            <w:tcBorders>
              <w:top w:val="dotted" w:sz="4" w:space="0" w:color="auto"/>
              <w:left w:val="dotted" w:sz="4" w:space="0" w:color="auto"/>
              <w:bottom w:val="dotted" w:sz="4" w:space="0" w:color="auto"/>
            </w:tcBorders>
            <w:vAlign w:val="center"/>
          </w:tcPr>
          <w:p w:rsidR="00A9209D" w:rsidRPr="00025B12" w:rsidRDefault="00A9209D" w:rsidP="006E246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2004</w:t>
            </w:r>
          </w:p>
        </w:tc>
      </w:tr>
      <w:tr w:rsidR="000F37E9" w:rsidRPr="00025B12" w:rsidTr="006E246D">
        <w:trPr>
          <w:trHeight w:val="360"/>
        </w:trPr>
        <w:tc>
          <w:tcPr>
            <w:tcW w:w="1451" w:type="dxa"/>
            <w:tcBorders>
              <w:top w:val="dotted" w:sz="4" w:space="0" w:color="auto"/>
              <w:bottom w:val="dotted" w:sz="4" w:space="0" w:color="auto"/>
              <w:right w:val="dotted" w:sz="4" w:space="0" w:color="auto"/>
            </w:tcBorders>
          </w:tcPr>
          <w:p w:rsidR="000F37E9" w:rsidRPr="00025B12" w:rsidRDefault="000F37E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84" w:type="dxa"/>
            <w:tcBorders>
              <w:top w:val="dotted" w:sz="4" w:space="0" w:color="auto"/>
              <w:left w:val="dotted" w:sz="4" w:space="0" w:color="auto"/>
              <w:bottom w:val="dotted" w:sz="4" w:space="0" w:color="auto"/>
              <w:right w:val="dotted" w:sz="4" w:space="0" w:color="auto"/>
            </w:tcBorders>
            <w:vAlign w:val="center"/>
          </w:tcPr>
          <w:p w:rsidR="000F37E9" w:rsidRPr="00025B12" w:rsidRDefault="00665F1D" w:rsidP="005F2F0A">
            <w:pPr>
              <w:spacing w:after="0" w:line="240" w:lineRule="auto"/>
              <w:jc w:val="center"/>
              <w:rPr>
                <w:rFonts w:ascii="Verdana" w:eastAsiaTheme="minorHAnsi" w:hAnsi="Verdana" w:cstheme="minorBidi"/>
                <w:sz w:val="18"/>
                <w:szCs w:val="18"/>
              </w:rPr>
            </w:pPr>
            <w:hyperlink w:anchor="VŠPS" w:history="1">
              <w:r w:rsidR="000F37E9" w:rsidRPr="00025B12">
                <w:rPr>
                  <w:rStyle w:val="Hypertextovodkaz"/>
                  <w:rFonts w:ascii="Verdana" w:eastAsiaTheme="minorHAnsi" w:hAnsi="Verdana" w:cstheme="minorBidi"/>
                  <w:sz w:val="18"/>
                  <w:szCs w:val="18"/>
                </w:rPr>
                <w:t>LFS (VŠPS)</w:t>
              </w:r>
            </w:hyperlink>
          </w:p>
        </w:tc>
        <w:tc>
          <w:tcPr>
            <w:tcW w:w="2295" w:type="dxa"/>
            <w:tcBorders>
              <w:top w:val="dotted" w:sz="4" w:space="0" w:color="auto"/>
              <w:left w:val="dotted" w:sz="4" w:space="0" w:color="auto"/>
              <w:bottom w:val="dotted" w:sz="4" w:space="0" w:color="auto"/>
              <w:right w:val="dotted" w:sz="4" w:space="0" w:color="auto"/>
            </w:tcBorders>
            <w:vAlign w:val="center"/>
          </w:tcPr>
          <w:p w:rsidR="000F37E9" w:rsidRPr="00025B12" w:rsidRDefault="000F37E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18" w:type="dxa"/>
            <w:tcBorders>
              <w:top w:val="dotted" w:sz="4" w:space="0" w:color="auto"/>
              <w:left w:val="dotted" w:sz="4" w:space="0" w:color="auto"/>
              <w:bottom w:val="dotted" w:sz="4" w:space="0" w:color="auto"/>
              <w:right w:val="dotted" w:sz="4" w:space="0" w:color="auto"/>
            </w:tcBorders>
            <w:vAlign w:val="center"/>
          </w:tcPr>
          <w:p w:rsidR="000F37E9" w:rsidRPr="00025B12" w:rsidRDefault="000F37E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0" w:type="dxa"/>
            <w:tcBorders>
              <w:top w:val="dotted" w:sz="4" w:space="0" w:color="auto"/>
              <w:left w:val="dotted" w:sz="4" w:space="0" w:color="auto"/>
              <w:bottom w:val="dotted" w:sz="4" w:space="0" w:color="auto"/>
            </w:tcBorders>
            <w:vAlign w:val="center"/>
          </w:tcPr>
          <w:p w:rsidR="000F37E9" w:rsidRPr="00025B12" w:rsidRDefault="000F37E9" w:rsidP="006E246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2004</w:t>
            </w:r>
          </w:p>
        </w:tc>
      </w:tr>
      <w:tr w:rsidR="000F37E9" w:rsidRPr="00025B12" w:rsidTr="006E246D">
        <w:trPr>
          <w:trHeight w:val="360"/>
        </w:trPr>
        <w:tc>
          <w:tcPr>
            <w:tcW w:w="1451" w:type="dxa"/>
            <w:tcBorders>
              <w:top w:val="dotted" w:sz="4" w:space="0" w:color="auto"/>
              <w:right w:val="dotted" w:sz="4" w:space="0" w:color="auto"/>
            </w:tcBorders>
          </w:tcPr>
          <w:p w:rsidR="000F37E9" w:rsidRPr="00025B12" w:rsidRDefault="000F37E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84" w:type="dxa"/>
            <w:tcBorders>
              <w:top w:val="dotted" w:sz="4" w:space="0" w:color="auto"/>
              <w:left w:val="dotted" w:sz="4" w:space="0" w:color="auto"/>
              <w:right w:val="dotted" w:sz="4" w:space="0" w:color="auto"/>
            </w:tcBorders>
            <w:vAlign w:val="center"/>
          </w:tcPr>
          <w:p w:rsidR="000F37E9" w:rsidRPr="00025B12" w:rsidRDefault="00665F1D" w:rsidP="005F2F0A">
            <w:pPr>
              <w:spacing w:after="0" w:line="240" w:lineRule="auto"/>
              <w:jc w:val="center"/>
              <w:rPr>
                <w:rFonts w:ascii="Verdana" w:eastAsiaTheme="minorHAnsi" w:hAnsi="Verdana" w:cstheme="minorBidi"/>
                <w:sz w:val="18"/>
                <w:szCs w:val="18"/>
              </w:rPr>
            </w:pPr>
            <w:hyperlink w:anchor="VŠPS" w:history="1">
              <w:r w:rsidR="000F37E9" w:rsidRPr="00025B12">
                <w:rPr>
                  <w:rStyle w:val="Hypertextovodkaz"/>
                  <w:rFonts w:ascii="Verdana" w:eastAsiaTheme="minorHAnsi" w:hAnsi="Verdana" w:cstheme="minorBidi"/>
                  <w:sz w:val="18"/>
                  <w:szCs w:val="18"/>
                </w:rPr>
                <w:t>LFS (VŠPS)</w:t>
              </w:r>
            </w:hyperlink>
          </w:p>
        </w:tc>
        <w:tc>
          <w:tcPr>
            <w:tcW w:w="2295" w:type="dxa"/>
            <w:tcBorders>
              <w:top w:val="dotted" w:sz="4" w:space="0" w:color="auto"/>
              <w:left w:val="dotted" w:sz="4" w:space="0" w:color="auto"/>
              <w:right w:val="dotted" w:sz="4" w:space="0" w:color="auto"/>
            </w:tcBorders>
            <w:vAlign w:val="center"/>
          </w:tcPr>
          <w:p w:rsidR="000F37E9" w:rsidRPr="00025B12" w:rsidRDefault="000F37E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18" w:type="dxa"/>
            <w:tcBorders>
              <w:top w:val="dotted" w:sz="4" w:space="0" w:color="auto"/>
              <w:left w:val="dotted" w:sz="4" w:space="0" w:color="auto"/>
              <w:right w:val="dotted" w:sz="4" w:space="0" w:color="auto"/>
            </w:tcBorders>
            <w:vAlign w:val="center"/>
          </w:tcPr>
          <w:p w:rsidR="000F37E9" w:rsidRPr="00025B12" w:rsidRDefault="000F37E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0" w:type="dxa"/>
            <w:tcBorders>
              <w:top w:val="dotted" w:sz="4" w:space="0" w:color="auto"/>
              <w:left w:val="dotted" w:sz="4" w:space="0" w:color="auto"/>
            </w:tcBorders>
            <w:vAlign w:val="center"/>
          </w:tcPr>
          <w:p w:rsidR="000F37E9" w:rsidRPr="00025B12" w:rsidRDefault="000F37E9" w:rsidP="006E246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2004</w:t>
            </w:r>
          </w:p>
        </w:tc>
      </w:tr>
      <w:tr w:rsidR="00A9209D" w:rsidRPr="00025B12" w:rsidTr="000F37E9">
        <w:trPr>
          <w:trHeight w:val="274"/>
        </w:trPr>
        <w:tc>
          <w:tcPr>
            <w:tcW w:w="9288" w:type="dxa"/>
            <w:gridSpan w:val="5"/>
            <w:shd w:val="clear" w:color="auto" w:fill="663399"/>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0F37E9">
        <w:trPr>
          <w:trHeight w:val="1319"/>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A9209D" w:rsidRPr="00025B12" w:rsidRDefault="00C5332D" w:rsidP="00C5332D">
            <w:pPr>
              <w:jc w:val="both"/>
              <w:rPr>
                <w:rFonts w:ascii="Verdana" w:hAnsi="Verdana"/>
                <w:sz w:val="18"/>
                <w:szCs w:val="18"/>
              </w:rPr>
            </w:pPr>
            <w:r w:rsidRPr="00025B12">
              <w:rPr>
                <w:rFonts w:ascii="Verdana" w:hAnsi="Verdana"/>
                <w:sz w:val="18"/>
                <w:szCs w:val="18"/>
              </w:rPr>
              <w:t>Indikátor informuje o účasti na neformálním vzdělávání (viz definice v</w:t>
            </w:r>
            <w:r w:rsidR="00326A86" w:rsidRPr="00025B12">
              <w:rPr>
                <w:rFonts w:ascii="Verdana" w:hAnsi="Verdana"/>
                <w:sz w:val="18"/>
                <w:szCs w:val="18"/>
              </w:rPr>
              <w:t> </w:t>
            </w:r>
            <w:r w:rsidRPr="00025B12">
              <w:rPr>
                <w:rFonts w:ascii="Verdana" w:hAnsi="Verdana"/>
                <w:sz w:val="18"/>
                <w:szCs w:val="18"/>
              </w:rPr>
              <w:t>příloze</w:t>
            </w:r>
            <w:r w:rsidR="00326A86" w:rsidRPr="00025B12">
              <w:rPr>
                <w:rFonts w:ascii="Verdana" w:hAnsi="Verdana"/>
                <w:sz w:val="18"/>
                <w:szCs w:val="18"/>
              </w:rPr>
              <w:t xml:space="preserve"> 2</w:t>
            </w:r>
            <w:r w:rsidRPr="00025B12">
              <w:rPr>
                <w:rFonts w:ascii="Verdana" w:hAnsi="Verdana"/>
                <w:sz w:val="18"/>
                <w:szCs w:val="18"/>
              </w:rPr>
              <w:t>). Popisuje tak, jaký podíl populace si prohlubuje či rozšiřuje znalosti prostřednictvím vzdělávacích aktivit, které nevedou přímo ke zvyšování formální kvalifikace. Neformální vzdělávání tvoří převážnou část dalšího vzdělávání dospělých, indikátor je tak možné považovat za velmi důležitý informativní ukazatel, který není zkreslen dokončováním formálního počátečního vzdělávání po 25. roce věku.</w:t>
            </w:r>
          </w:p>
        </w:tc>
      </w:tr>
      <w:tr w:rsidR="00A9209D" w:rsidRPr="00025B12" w:rsidTr="000F37E9">
        <w:trPr>
          <w:trHeight w:val="992"/>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A9209D" w:rsidRPr="00025B12" w:rsidRDefault="00A9209D" w:rsidP="00A9209D">
            <w:pPr>
              <w:jc w:val="both"/>
              <w:rPr>
                <w:rFonts w:ascii="Verdana" w:hAnsi="Verdana"/>
                <w:sz w:val="18"/>
                <w:szCs w:val="18"/>
              </w:rPr>
            </w:pPr>
            <w:r w:rsidRPr="00025B12">
              <w:rPr>
                <w:rFonts w:ascii="Verdana" w:hAnsi="Verdana"/>
                <w:sz w:val="18"/>
                <w:szCs w:val="18"/>
              </w:rPr>
              <w:t>Indikátor je počítán jako podíl lidí, kteří se v uplynulých 4 týdnech účastnili neformálního vzdělávání, v populaci 25-64 let.</w:t>
            </w:r>
          </w:p>
        </w:tc>
      </w:tr>
      <w:tr w:rsidR="00A9209D" w:rsidRPr="00025B12" w:rsidTr="000F37E9">
        <w:trPr>
          <w:trHeight w:val="423"/>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A9209D" w:rsidRPr="00025B12" w:rsidRDefault="00A9209D" w:rsidP="00A9209D">
            <w:pPr>
              <w:jc w:val="both"/>
              <w:rPr>
                <w:rFonts w:ascii="Verdana" w:hAnsi="Verdana"/>
                <w:sz w:val="18"/>
                <w:szCs w:val="18"/>
              </w:rPr>
            </w:pPr>
            <w:r w:rsidRPr="00025B12">
              <w:rPr>
                <w:rFonts w:ascii="Verdana" w:hAnsi="Verdana"/>
                <w:sz w:val="18"/>
                <w:szCs w:val="18"/>
              </w:rPr>
              <w:t>Mezinárodní data jsou veřejně publikována v databázi Eurostatu. Krajské členění publikováno na stránkách ČSÚ není a musí být dopočítáváno z mikrodat.</w:t>
            </w:r>
          </w:p>
          <w:p w:rsidR="00A9209D" w:rsidRPr="00025B12" w:rsidRDefault="00A9209D" w:rsidP="00C471F7">
            <w:pPr>
              <w:jc w:val="both"/>
              <w:rPr>
                <w:rFonts w:ascii="Verdana" w:hAnsi="Verdana"/>
                <w:sz w:val="18"/>
                <w:szCs w:val="18"/>
              </w:rPr>
            </w:pPr>
            <w:r w:rsidRPr="00025B12">
              <w:rPr>
                <w:rFonts w:ascii="Verdana" w:hAnsi="Verdana"/>
                <w:sz w:val="18"/>
                <w:szCs w:val="18"/>
              </w:rPr>
              <w:t>Data pocházejí z Výběrového šetření pracovních sil (Labour Force Survey), které poskytuje časové řady údajů o dalším neformálním vzdělávání v metodicky srovnatelné pod</w:t>
            </w:r>
            <w:r w:rsidR="00C471F7" w:rsidRPr="00025B12">
              <w:rPr>
                <w:rFonts w:ascii="Verdana" w:hAnsi="Verdana"/>
                <w:sz w:val="18"/>
                <w:szCs w:val="18"/>
              </w:rPr>
              <w:t>obě od roku 2004. Problémem je</w:t>
            </w:r>
            <w:r w:rsidRPr="00025B12">
              <w:rPr>
                <w:rFonts w:ascii="Verdana" w:hAnsi="Verdana"/>
                <w:sz w:val="18"/>
                <w:szCs w:val="18"/>
              </w:rPr>
              <w:t xml:space="preserve"> nízká účast právě v konkrétních čtyřech týdnech před šetřením a tím omezené možnosti výpočtu indikátoru pro specifické skupiny. I v krajském členění jsou v časových řadách patrné výkyvy.</w:t>
            </w:r>
          </w:p>
        </w:tc>
      </w:tr>
      <w:tr w:rsidR="00A9209D" w:rsidRPr="00025B12" w:rsidTr="000F37E9">
        <w:trPr>
          <w:trHeight w:val="837"/>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A9209D" w:rsidRPr="00025B12" w:rsidRDefault="00A9209D" w:rsidP="00A9209D">
            <w:pPr>
              <w:jc w:val="both"/>
              <w:rPr>
                <w:rFonts w:ascii="Verdana" w:hAnsi="Verdana"/>
                <w:sz w:val="18"/>
                <w:szCs w:val="18"/>
              </w:rPr>
            </w:pPr>
            <w:r w:rsidRPr="00025B12">
              <w:rPr>
                <w:rFonts w:ascii="Verdana" w:hAnsi="Verdana"/>
                <w:sz w:val="18"/>
                <w:szCs w:val="18"/>
              </w:rPr>
              <w:t>-</w:t>
            </w:r>
          </w:p>
        </w:tc>
      </w:tr>
    </w:tbl>
    <w:p w:rsidR="00A9209D" w:rsidRPr="00025B12" w:rsidRDefault="00A9209D" w:rsidP="00A9209D"/>
    <w:p w:rsidR="00A9209D" w:rsidRPr="00025B12" w:rsidRDefault="00A9209D" w:rsidP="00A9209D">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684"/>
        <w:gridCol w:w="2295"/>
        <w:gridCol w:w="2118"/>
        <w:gridCol w:w="1740"/>
      </w:tblGrid>
      <w:tr w:rsidR="00A9209D" w:rsidRPr="00025B12" w:rsidTr="000F37E9">
        <w:trPr>
          <w:trHeight w:val="425"/>
        </w:trPr>
        <w:tc>
          <w:tcPr>
            <w:tcW w:w="1451" w:type="dxa"/>
            <w:tcBorders>
              <w:bottom w:val="single" w:sz="4" w:space="0" w:color="auto"/>
              <w:right w:val="single" w:sz="4" w:space="0" w:color="auto"/>
            </w:tcBorders>
            <w:shd w:val="clear" w:color="auto" w:fill="663399"/>
            <w:vAlign w:val="center"/>
          </w:tcPr>
          <w:p w:rsidR="00A9209D" w:rsidRPr="00025B12" w:rsidRDefault="00A9209D" w:rsidP="00A9209D">
            <w:pPr>
              <w:pStyle w:val="Kd"/>
              <w:rPr>
                <w:sz w:val="18"/>
                <w:szCs w:val="18"/>
              </w:rPr>
            </w:pPr>
            <w:r w:rsidRPr="00025B12">
              <w:rPr>
                <w:sz w:val="18"/>
                <w:szCs w:val="18"/>
              </w:rPr>
              <w:br w:type="page"/>
            </w:r>
            <w:r w:rsidRPr="00025B12">
              <w:rPr>
                <w:sz w:val="18"/>
                <w:szCs w:val="18"/>
              </w:rPr>
              <w:br w:type="page"/>
            </w:r>
            <w:bookmarkStart w:id="121" w:name="IV22"/>
            <w:r w:rsidRPr="00025B12">
              <w:rPr>
                <w:sz w:val="18"/>
                <w:szCs w:val="18"/>
              </w:rPr>
              <w:t>IV.2.2</w:t>
            </w:r>
            <w:bookmarkEnd w:id="121"/>
          </w:p>
        </w:tc>
        <w:tc>
          <w:tcPr>
            <w:tcW w:w="7837" w:type="dxa"/>
            <w:gridSpan w:val="4"/>
            <w:vMerge w:val="restart"/>
            <w:tcBorders>
              <w:top w:val="single" w:sz="4" w:space="0" w:color="auto"/>
              <w:left w:val="single" w:sz="4" w:space="0" w:color="auto"/>
              <w:right w:val="single" w:sz="4" w:space="0" w:color="auto"/>
            </w:tcBorders>
            <w:shd w:val="clear" w:color="auto" w:fill="663399"/>
            <w:vAlign w:val="center"/>
          </w:tcPr>
          <w:p w:rsidR="00A9209D" w:rsidRPr="00025B12" w:rsidRDefault="00A9209D"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Počet hodin strávený účastníkem v dalším neformálním vzdělávání</w:t>
            </w:r>
          </w:p>
        </w:tc>
      </w:tr>
      <w:tr w:rsidR="00A9209D" w:rsidRPr="00025B12" w:rsidTr="000F37E9">
        <w:trPr>
          <w:trHeight w:val="360"/>
        </w:trPr>
        <w:tc>
          <w:tcPr>
            <w:tcW w:w="1451" w:type="dxa"/>
            <w:tcBorders>
              <w:top w:val="single" w:sz="4" w:space="0" w:color="auto"/>
              <w:bottom w:val="single" w:sz="4" w:space="0" w:color="auto"/>
              <w:right w:val="single" w:sz="4" w:space="0" w:color="auto"/>
            </w:tcBorders>
            <w:shd w:val="clear" w:color="auto" w:fill="663399"/>
            <w:vAlign w:val="center"/>
          </w:tcPr>
          <w:p w:rsidR="00A9209D" w:rsidRPr="00025B12" w:rsidRDefault="00625F38"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37" w:type="dxa"/>
            <w:gridSpan w:val="4"/>
            <w:vMerge/>
            <w:tcBorders>
              <w:left w:val="single" w:sz="4" w:space="0" w:color="auto"/>
              <w:bottom w:val="single" w:sz="4" w:space="0" w:color="auto"/>
              <w:right w:val="single"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296FE3">
        <w:trPr>
          <w:trHeight w:val="360"/>
        </w:trPr>
        <w:tc>
          <w:tcPr>
            <w:tcW w:w="1451" w:type="dxa"/>
            <w:tcBorders>
              <w:top w:val="single"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p>
        </w:tc>
        <w:tc>
          <w:tcPr>
            <w:tcW w:w="1684"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95"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18"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0" w:type="dxa"/>
            <w:tcBorders>
              <w:top w:val="single" w:sz="4" w:space="0" w:color="auto"/>
              <w:left w:val="dotted" w:sz="4" w:space="0" w:color="auto"/>
              <w:bottom w:val="dotted" w:sz="4" w:space="0" w:color="auto"/>
            </w:tcBorders>
            <w:vAlign w:val="center"/>
          </w:tcPr>
          <w:p w:rsidR="00A9209D" w:rsidRPr="00025B12" w:rsidRDefault="00A9209D"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A9209D" w:rsidRPr="00025B12" w:rsidTr="000F37E9">
        <w:trPr>
          <w:trHeight w:val="360"/>
        </w:trPr>
        <w:tc>
          <w:tcPr>
            <w:tcW w:w="1451" w:type="dxa"/>
            <w:tcBorders>
              <w:top w:val="dotted"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84" w:type="dxa"/>
            <w:tcBorders>
              <w:top w:val="dotted" w:sz="4" w:space="0" w:color="auto"/>
              <w:left w:val="dotted" w:sz="4" w:space="0" w:color="auto"/>
              <w:bottom w:val="dotted" w:sz="4" w:space="0" w:color="auto"/>
              <w:right w:val="dotted" w:sz="4" w:space="0" w:color="auto"/>
            </w:tcBorders>
            <w:vAlign w:val="center"/>
          </w:tcPr>
          <w:p w:rsidR="00A9209D" w:rsidRPr="00025B12" w:rsidRDefault="00665F1D" w:rsidP="00A9209D">
            <w:pPr>
              <w:spacing w:after="0" w:line="240" w:lineRule="auto"/>
              <w:jc w:val="center"/>
              <w:rPr>
                <w:rFonts w:ascii="Verdana" w:eastAsiaTheme="minorHAnsi" w:hAnsi="Verdana" w:cstheme="minorBidi"/>
                <w:sz w:val="18"/>
                <w:szCs w:val="18"/>
              </w:rPr>
            </w:pPr>
            <w:hyperlink w:anchor="AES" w:history="1">
              <w:r w:rsidR="00A9209D" w:rsidRPr="00025B12">
                <w:rPr>
                  <w:rStyle w:val="Hypertextovodkaz"/>
                  <w:rFonts w:ascii="Verdana" w:eastAsiaTheme="minorHAnsi" w:hAnsi="Verdana" w:cstheme="minorBidi"/>
                  <w:sz w:val="18"/>
                  <w:szCs w:val="18"/>
                </w:rPr>
                <w:t>AES</w:t>
              </w:r>
            </w:hyperlink>
          </w:p>
        </w:tc>
        <w:tc>
          <w:tcPr>
            <w:tcW w:w="2295"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18"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0" w:type="dxa"/>
            <w:tcBorders>
              <w:top w:val="dotted" w:sz="4" w:space="0" w:color="auto"/>
              <w:left w:val="dotted" w:sz="4" w:space="0" w:color="auto"/>
              <w:bottom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0F37E9" w:rsidRPr="00025B12" w:rsidTr="000F37E9">
        <w:trPr>
          <w:trHeight w:val="360"/>
        </w:trPr>
        <w:tc>
          <w:tcPr>
            <w:tcW w:w="1451" w:type="dxa"/>
            <w:tcBorders>
              <w:top w:val="dotted" w:sz="4" w:space="0" w:color="auto"/>
              <w:bottom w:val="dotted" w:sz="4" w:space="0" w:color="auto"/>
              <w:right w:val="dotted" w:sz="4" w:space="0" w:color="auto"/>
            </w:tcBorders>
          </w:tcPr>
          <w:p w:rsidR="000F37E9" w:rsidRPr="00025B12" w:rsidRDefault="000F37E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84" w:type="dxa"/>
            <w:tcBorders>
              <w:top w:val="dotted" w:sz="4" w:space="0" w:color="auto"/>
              <w:left w:val="dotted" w:sz="4" w:space="0" w:color="auto"/>
              <w:bottom w:val="dotted" w:sz="4" w:space="0" w:color="auto"/>
              <w:right w:val="dotted" w:sz="4" w:space="0" w:color="auto"/>
            </w:tcBorders>
            <w:vAlign w:val="center"/>
          </w:tcPr>
          <w:p w:rsidR="000F37E9" w:rsidRPr="00025B12" w:rsidRDefault="00665F1D" w:rsidP="005F2F0A">
            <w:pPr>
              <w:spacing w:after="0" w:line="240" w:lineRule="auto"/>
              <w:jc w:val="center"/>
              <w:rPr>
                <w:rFonts w:ascii="Verdana" w:eastAsiaTheme="minorHAnsi" w:hAnsi="Verdana" w:cstheme="minorBidi"/>
                <w:sz w:val="18"/>
                <w:szCs w:val="18"/>
              </w:rPr>
            </w:pPr>
            <w:hyperlink w:anchor="VŠPS" w:history="1">
              <w:r w:rsidR="000F37E9" w:rsidRPr="00025B12">
                <w:rPr>
                  <w:rStyle w:val="Hypertextovodkaz"/>
                  <w:rFonts w:ascii="Verdana" w:eastAsiaTheme="minorHAnsi" w:hAnsi="Verdana" w:cstheme="minorBidi"/>
                  <w:sz w:val="18"/>
                  <w:szCs w:val="18"/>
                </w:rPr>
                <w:t>LFS (VŠPS)</w:t>
              </w:r>
            </w:hyperlink>
          </w:p>
        </w:tc>
        <w:tc>
          <w:tcPr>
            <w:tcW w:w="2295" w:type="dxa"/>
            <w:tcBorders>
              <w:top w:val="dotted" w:sz="4" w:space="0" w:color="auto"/>
              <w:left w:val="dotted" w:sz="4" w:space="0" w:color="auto"/>
              <w:bottom w:val="dotted" w:sz="4" w:space="0" w:color="auto"/>
              <w:right w:val="dotted" w:sz="4" w:space="0" w:color="auto"/>
            </w:tcBorders>
            <w:vAlign w:val="center"/>
          </w:tcPr>
          <w:p w:rsidR="000F37E9" w:rsidRPr="00025B12" w:rsidRDefault="000F37E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18" w:type="dxa"/>
            <w:tcBorders>
              <w:top w:val="dotted" w:sz="4" w:space="0" w:color="auto"/>
              <w:left w:val="dotted" w:sz="4" w:space="0" w:color="auto"/>
              <w:bottom w:val="dotted" w:sz="4" w:space="0" w:color="auto"/>
              <w:right w:val="dotted" w:sz="4" w:space="0" w:color="auto"/>
            </w:tcBorders>
            <w:vAlign w:val="center"/>
          </w:tcPr>
          <w:p w:rsidR="000F37E9" w:rsidRPr="00025B12" w:rsidRDefault="000F37E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0" w:type="dxa"/>
            <w:tcBorders>
              <w:top w:val="dotted" w:sz="4" w:space="0" w:color="auto"/>
              <w:left w:val="dotted" w:sz="4" w:space="0" w:color="auto"/>
              <w:bottom w:val="dotted" w:sz="4" w:space="0" w:color="auto"/>
            </w:tcBorders>
          </w:tcPr>
          <w:p w:rsidR="000F37E9" w:rsidRPr="00025B12" w:rsidRDefault="000F37E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2004</w:t>
            </w:r>
          </w:p>
        </w:tc>
      </w:tr>
      <w:tr w:rsidR="000F37E9" w:rsidRPr="00025B12" w:rsidTr="000F37E9">
        <w:trPr>
          <w:trHeight w:val="360"/>
        </w:trPr>
        <w:tc>
          <w:tcPr>
            <w:tcW w:w="1451" w:type="dxa"/>
            <w:tcBorders>
              <w:top w:val="dotted" w:sz="4" w:space="0" w:color="auto"/>
              <w:right w:val="dotted" w:sz="4" w:space="0" w:color="auto"/>
            </w:tcBorders>
          </w:tcPr>
          <w:p w:rsidR="000F37E9" w:rsidRPr="00025B12" w:rsidRDefault="000F37E9"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84" w:type="dxa"/>
            <w:tcBorders>
              <w:top w:val="dotted" w:sz="4" w:space="0" w:color="auto"/>
              <w:left w:val="dotted" w:sz="4" w:space="0" w:color="auto"/>
              <w:right w:val="dotted" w:sz="4" w:space="0" w:color="auto"/>
            </w:tcBorders>
            <w:vAlign w:val="center"/>
          </w:tcPr>
          <w:p w:rsidR="000F37E9" w:rsidRPr="00025B12" w:rsidRDefault="00665F1D" w:rsidP="005F2F0A">
            <w:pPr>
              <w:spacing w:after="0" w:line="240" w:lineRule="auto"/>
              <w:jc w:val="center"/>
              <w:rPr>
                <w:rFonts w:ascii="Verdana" w:eastAsiaTheme="minorHAnsi" w:hAnsi="Verdana" w:cstheme="minorBidi"/>
                <w:sz w:val="18"/>
                <w:szCs w:val="18"/>
              </w:rPr>
            </w:pPr>
            <w:hyperlink w:anchor="VŠPS" w:history="1">
              <w:r w:rsidR="000F37E9" w:rsidRPr="00025B12">
                <w:rPr>
                  <w:rStyle w:val="Hypertextovodkaz"/>
                  <w:rFonts w:ascii="Verdana" w:eastAsiaTheme="minorHAnsi" w:hAnsi="Verdana" w:cstheme="minorBidi"/>
                  <w:sz w:val="18"/>
                  <w:szCs w:val="18"/>
                </w:rPr>
                <w:t>LFS (VŠPS)</w:t>
              </w:r>
            </w:hyperlink>
          </w:p>
        </w:tc>
        <w:tc>
          <w:tcPr>
            <w:tcW w:w="2295" w:type="dxa"/>
            <w:tcBorders>
              <w:top w:val="dotted" w:sz="4" w:space="0" w:color="auto"/>
              <w:left w:val="dotted" w:sz="4" w:space="0" w:color="auto"/>
              <w:right w:val="dotted" w:sz="4" w:space="0" w:color="auto"/>
            </w:tcBorders>
            <w:vAlign w:val="center"/>
          </w:tcPr>
          <w:p w:rsidR="000F37E9" w:rsidRPr="00025B12" w:rsidRDefault="000F37E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18" w:type="dxa"/>
            <w:tcBorders>
              <w:top w:val="dotted" w:sz="4" w:space="0" w:color="auto"/>
              <w:left w:val="dotted" w:sz="4" w:space="0" w:color="auto"/>
              <w:right w:val="dotted" w:sz="4" w:space="0" w:color="auto"/>
            </w:tcBorders>
            <w:vAlign w:val="center"/>
          </w:tcPr>
          <w:p w:rsidR="000F37E9" w:rsidRPr="00025B12" w:rsidRDefault="000F37E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0" w:type="dxa"/>
            <w:tcBorders>
              <w:top w:val="dotted" w:sz="4" w:space="0" w:color="auto"/>
              <w:left w:val="dotted" w:sz="4" w:space="0" w:color="auto"/>
            </w:tcBorders>
          </w:tcPr>
          <w:p w:rsidR="000F37E9" w:rsidRPr="00025B12" w:rsidRDefault="000F37E9"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2004</w:t>
            </w:r>
          </w:p>
        </w:tc>
      </w:tr>
      <w:tr w:rsidR="00A9209D" w:rsidRPr="00025B12" w:rsidTr="000F37E9">
        <w:trPr>
          <w:trHeight w:val="274"/>
        </w:trPr>
        <w:tc>
          <w:tcPr>
            <w:tcW w:w="9288" w:type="dxa"/>
            <w:gridSpan w:val="5"/>
            <w:shd w:val="clear" w:color="auto" w:fill="663399"/>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0F37E9">
        <w:trPr>
          <w:trHeight w:val="1319"/>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A9209D" w:rsidRPr="00025B12" w:rsidRDefault="00A9209D" w:rsidP="00C471F7">
            <w:pPr>
              <w:jc w:val="both"/>
              <w:rPr>
                <w:rFonts w:ascii="Verdana" w:hAnsi="Verdana"/>
                <w:sz w:val="18"/>
                <w:szCs w:val="18"/>
              </w:rPr>
            </w:pPr>
            <w:r w:rsidRPr="00025B12">
              <w:rPr>
                <w:rFonts w:ascii="Verdana" w:hAnsi="Verdana"/>
                <w:sz w:val="18"/>
                <w:szCs w:val="18"/>
              </w:rPr>
              <w:t>Další neformální vzdělávání zahrnuje celou řadu vzdělávacích forem různé délky, intenzity a náročnosti. Indikátor, který měří účast dospělé populace na dalším vzdělávání (indikátory IV.2.1 a IV.2.</w:t>
            </w:r>
            <w:r w:rsidR="00C471F7" w:rsidRPr="00025B12">
              <w:rPr>
                <w:rFonts w:ascii="Verdana" w:hAnsi="Verdana"/>
                <w:sz w:val="18"/>
                <w:szCs w:val="18"/>
              </w:rPr>
              <w:t>d1</w:t>
            </w:r>
            <w:r w:rsidRPr="00025B12">
              <w:rPr>
                <w:rFonts w:ascii="Verdana" w:hAnsi="Verdana"/>
                <w:sz w:val="18"/>
                <w:szCs w:val="18"/>
              </w:rPr>
              <w:t>) ale nemají potenciál tyto odlišnosti žádným způsobem rozlišit. Účastník povinného školení bezpečnosti práce v rozsahu jedné hodiny za rok přispívá k měření účasti stejným dílem, jako ten, kdo strávil na dalším vzdělávání v průběhu uplynulého roku v součtu několik týdnů. Přitom je zřejmé, že přínosy tohoto dalšího vzdělávání budou značně rozdílné. Je třeba proto měřit nejen podíl lidí, kteří se dalšího vzdělávání účastní, ale i rozsah tohoto vzdělávání, proto je počítán průměrný počet hodin, který účastník stráví na dalším vzdělávání. Indikátor hodnotí intenzitu dalšího vzdělávání, pro hodnocení celkového rozsahu dalšího vzdělávání v dané zemi či regionu je třeba dát tuto intenzitu do vztahu s podílem lidí, kteří se dalšího formálního vzdělávání účastní.</w:t>
            </w:r>
          </w:p>
        </w:tc>
      </w:tr>
      <w:tr w:rsidR="00A9209D" w:rsidRPr="00025B12" w:rsidTr="000F37E9">
        <w:trPr>
          <w:trHeight w:val="992"/>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A9209D" w:rsidRPr="00025B12" w:rsidRDefault="00A9209D" w:rsidP="00A9209D">
            <w:pPr>
              <w:jc w:val="both"/>
              <w:rPr>
                <w:rFonts w:ascii="Verdana" w:hAnsi="Verdana"/>
                <w:sz w:val="18"/>
                <w:szCs w:val="18"/>
              </w:rPr>
            </w:pPr>
            <w:r w:rsidRPr="00025B12">
              <w:rPr>
                <w:rFonts w:ascii="Verdana" w:hAnsi="Verdana"/>
                <w:sz w:val="18"/>
                <w:szCs w:val="18"/>
              </w:rPr>
              <w:t>Indikátor IV.2.2 je s ohledem na dostupnost dat počítán rozdílně v mezinárodním a v regionálním srovnání.</w:t>
            </w:r>
          </w:p>
          <w:p w:rsidR="00A9209D" w:rsidRPr="00025B12" w:rsidRDefault="00A9209D" w:rsidP="00A9209D">
            <w:pPr>
              <w:jc w:val="both"/>
              <w:rPr>
                <w:rFonts w:ascii="Verdana" w:hAnsi="Verdana"/>
                <w:sz w:val="18"/>
                <w:szCs w:val="18"/>
              </w:rPr>
            </w:pPr>
            <w:r w:rsidRPr="00025B12">
              <w:rPr>
                <w:rFonts w:ascii="Verdana" w:hAnsi="Verdana"/>
                <w:sz w:val="18"/>
                <w:szCs w:val="18"/>
              </w:rPr>
              <w:t>V mezinárodním srovnání využívá data z AES a udává průměrný počet hodin strávených účastníkem v neformálním vzdělávání za posledních 12 měsíců. Zatím proběhlo pouze jedno kolo AES, proto není k dispozici časová řada, v budoucnu se bude AES konat každých 5 let. Mezinárodní Labour Force Survey, který by mohl poskytnout každoroční data, obsahuje dotazník o počtu hodin strávených neformálním vzdělávání v uplynulých čtyřech týdnech, ale tento údaj není k dispozici na webových stránkách Eurostatu a musel by být individuálně vyžádán.</w:t>
            </w:r>
          </w:p>
          <w:p w:rsidR="00A9209D" w:rsidRPr="00025B12" w:rsidRDefault="00A9209D" w:rsidP="009375A6">
            <w:pPr>
              <w:jc w:val="both"/>
              <w:rPr>
                <w:rFonts w:ascii="Verdana" w:hAnsi="Verdana"/>
                <w:sz w:val="18"/>
                <w:szCs w:val="18"/>
              </w:rPr>
            </w:pPr>
            <w:r w:rsidRPr="00025B12">
              <w:rPr>
                <w:rFonts w:ascii="Verdana" w:hAnsi="Verdana"/>
                <w:sz w:val="18"/>
                <w:szCs w:val="18"/>
              </w:rPr>
              <w:t>V regionálním členění jsou k dispozici data z Výběrového šetření pracovních sil, metodika výpočtu indikátoru je stejná, jen se vztahuje pouze k počtu hodin za uplynulé 4 týdny. I zde by bylo možné použít data z AES, publikovaná data z ČSÚ však neobsahují regionální třídění a zpracovatel nemá momentálně k dispozici mikrodata, ze kterých by bylo možné tento údaj dopočíst.</w:t>
            </w:r>
          </w:p>
        </w:tc>
      </w:tr>
      <w:tr w:rsidR="00A9209D" w:rsidRPr="00025B12" w:rsidTr="000F37E9">
        <w:trPr>
          <w:trHeight w:val="423"/>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A9209D" w:rsidRPr="00025B12" w:rsidRDefault="00A9209D" w:rsidP="00A9209D">
            <w:pPr>
              <w:jc w:val="both"/>
              <w:rPr>
                <w:rFonts w:ascii="Verdana" w:hAnsi="Verdana"/>
                <w:sz w:val="18"/>
                <w:szCs w:val="18"/>
              </w:rPr>
            </w:pPr>
            <w:r w:rsidRPr="00025B12">
              <w:rPr>
                <w:rFonts w:ascii="Verdana" w:hAnsi="Verdana"/>
                <w:sz w:val="18"/>
                <w:szCs w:val="18"/>
              </w:rPr>
              <w:t>Mezinárodní data jsou veřejně publikována v databázi Eurostatu. Krajské členění publikováno na stránkách ČSÚ není a musí být dopočítáváno z mikrodat.</w:t>
            </w:r>
          </w:p>
        </w:tc>
      </w:tr>
      <w:tr w:rsidR="00A9209D" w:rsidRPr="00025B12" w:rsidTr="000F37E9">
        <w:trPr>
          <w:trHeight w:val="837"/>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A9209D" w:rsidRPr="00025B12" w:rsidRDefault="00A9209D" w:rsidP="00A9209D">
            <w:pPr>
              <w:jc w:val="both"/>
              <w:rPr>
                <w:rFonts w:ascii="Verdana" w:hAnsi="Verdana"/>
                <w:sz w:val="18"/>
                <w:szCs w:val="18"/>
              </w:rPr>
            </w:pPr>
            <w:r w:rsidRPr="00025B12">
              <w:rPr>
                <w:rFonts w:ascii="Verdana" w:hAnsi="Verdana"/>
                <w:sz w:val="18"/>
                <w:szCs w:val="18"/>
              </w:rPr>
              <w:t>-</w:t>
            </w:r>
          </w:p>
        </w:tc>
      </w:tr>
    </w:tbl>
    <w:p w:rsidR="00A9209D" w:rsidRPr="00025B12" w:rsidRDefault="00A9209D" w:rsidP="00A9209D"/>
    <w:p w:rsidR="00A9209D" w:rsidRPr="00025B12" w:rsidRDefault="00A9209D" w:rsidP="00A9209D">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58"/>
        <w:gridCol w:w="2303"/>
        <w:gridCol w:w="2126"/>
        <w:gridCol w:w="1749"/>
      </w:tblGrid>
      <w:tr w:rsidR="00A9209D" w:rsidRPr="00025B12" w:rsidTr="009375A6">
        <w:trPr>
          <w:trHeight w:val="425"/>
        </w:trPr>
        <w:tc>
          <w:tcPr>
            <w:tcW w:w="1452" w:type="dxa"/>
            <w:tcBorders>
              <w:bottom w:val="single" w:sz="4" w:space="0" w:color="auto"/>
              <w:right w:val="single" w:sz="4" w:space="0" w:color="auto"/>
            </w:tcBorders>
            <w:shd w:val="clear" w:color="auto" w:fill="663399"/>
            <w:vAlign w:val="center"/>
          </w:tcPr>
          <w:p w:rsidR="00A9209D" w:rsidRPr="00025B12" w:rsidRDefault="00A9209D" w:rsidP="00A9209D">
            <w:pPr>
              <w:pStyle w:val="Kd"/>
              <w:rPr>
                <w:sz w:val="18"/>
                <w:szCs w:val="18"/>
              </w:rPr>
            </w:pPr>
            <w:r w:rsidRPr="00025B12">
              <w:rPr>
                <w:sz w:val="18"/>
                <w:szCs w:val="18"/>
              </w:rPr>
              <w:br w:type="page"/>
            </w:r>
            <w:r w:rsidRPr="00025B12">
              <w:rPr>
                <w:sz w:val="18"/>
                <w:szCs w:val="18"/>
              </w:rPr>
              <w:br w:type="page"/>
            </w:r>
            <w:bookmarkStart w:id="122" w:name="IV23"/>
            <w:r w:rsidRPr="00025B12">
              <w:rPr>
                <w:sz w:val="18"/>
                <w:szCs w:val="18"/>
              </w:rPr>
              <w:t>IV.2.</w:t>
            </w:r>
            <w:bookmarkEnd w:id="122"/>
            <w:r w:rsidR="00741F81" w:rsidRPr="00025B12">
              <w:rPr>
                <w:sz w:val="18"/>
                <w:szCs w:val="18"/>
              </w:rPr>
              <w:t>d1</w:t>
            </w:r>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A9209D" w:rsidRPr="00025B12" w:rsidRDefault="00A9209D"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Účast dospělé populace na neformálním vzdělávání v posledních 12 měsících</w:t>
            </w:r>
          </w:p>
        </w:tc>
      </w:tr>
      <w:tr w:rsidR="00A9209D" w:rsidRPr="00025B12" w:rsidTr="009375A6">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A9209D" w:rsidRPr="00025B12" w:rsidRDefault="00CC688F"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36" w:type="dxa"/>
            <w:gridSpan w:val="4"/>
            <w:vMerge/>
            <w:tcBorders>
              <w:left w:val="single" w:sz="4" w:space="0" w:color="auto"/>
              <w:bottom w:val="single" w:sz="4" w:space="0" w:color="auto"/>
              <w:right w:val="single"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296FE3">
        <w:trPr>
          <w:trHeight w:val="360"/>
        </w:trPr>
        <w:tc>
          <w:tcPr>
            <w:tcW w:w="1452" w:type="dxa"/>
            <w:tcBorders>
              <w:top w:val="single"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A9209D" w:rsidRPr="00025B12" w:rsidRDefault="00A9209D"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9349B5" w:rsidRPr="00025B12" w:rsidTr="009375A6">
        <w:trPr>
          <w:trHeight w:val="360"/>
        </w:trPr>
        <w:tc>
          <w:tcPr>
            <w:tcW w:w="1452" w:type="dxa"/>
            <w:tcBorders>
              <w:top w:val="dotted" w:sz="4" w:space="0" w:color="auto"/>
              <w:bottom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9349B5" w:rsidRPr="00025B12" w:rsidRDefault="00665F1D" w:rsidP="00A9209D">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26"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bottom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9349B5" w:rsidRPr="00025B12" w:rsidTr="009375A6">
        <w:trPr>
          <w:trHeight w:val="360"/>
        </w:trPr>
        <w:tc>
          <w:tcPr>
            <w:tcW w:w="1452" w:type="dxa"/>
            <w:tcBorders>
              <w:top w:val="dotted" w:sz="4" w:space="0" w:color="auto"/>
              <w:bottom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9349B5" w:rsidRPr="00025B12" w:rsidRDefault="00665F1D" w:rsidP="005F2F0A">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bottom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bottom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9349B5" w:rsidRPr="00025B12" w:rsidTr="009375A6">
        <w:trPr>
          <w:trHeight w:val="360"/>
        </w:trPr>
        <w:tc>
          <w:tcPr>
            <w:tcW w:w="1452" w:type="dxa"/>
            <w:tcBorders>
              <w:top w:val="dotted" w:sz="4" w:space="0" w:color="auto"/>
              <w:right w:val="dotted" w:sz="4" w:space="0" w:color="auto"/>
            </w:tcBorders>
          </w:tcPr>
          <w:p w:rsidR="009349B5" w:rsidRPr="00025B12" w:rsidRDefault="009349B5"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9349B5" w:rsidRPr="00025B12" w:rsidRDefault="00665F1D" w:rsidP="005F2F0A">
            <w:pPr>
              <w:spacing w:after="0" w:line="240" w:lineRule="auto"/>
              <w:jc w:val="center"/>
              <w:rPr>
                <w:rFonts w:ascii="Verdana" w:eastAsiaTheme="minorHAnsi" w:hAnsi="Verdana" w:cstheme="minorBidi"/>
                <w:sz w:val="18"/>
                <w:szCs w:val="18"/>
              </w:rPr>
            </w:pPr>
            <w:hyperlink w:anchor="AES" w:history="1">
              <w:r w:rsidR="009349B5" w:rsidRPr="00025B12">
                <w:rPr>
                  <w:rStyle w:val="Hypertextovodkaz"/>
                  <w:rFonts w:ascii="Verdana" w:eastAsiaTheme="minorHAnsi" w:hAnsi="Verdana" w:cstheme="minorBidi"/>
                  <w:sz w:val="18"/>
                  <w:szCs w:val="18"/>
                </w:rPr>
                <w:t>AES</w:t>
              </w:r>
            </w:hyperlink>
          </w:p>
        </w:tc>
        <w:tc>
          <w:tcPr>
            <w:tcW w:w="2303" w:type="dxa"/>
            <w:tcBorders>
              <w:top w:val="dotted" w:sz="4" w:space="0" w:color="auto"/>
              <w:left w:val="dotted" w:sz="4" w:space="0" w:color="auto"/>
              <w:righ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right w:val="dotted" w:sz="4" w:space="0" w:color="auto"/>
            </w:tcBorders>
            <w:vAlign w:val="center"/>
          </w:tcPr>
          <w:p w:rsidR="009349B5" w:rsidRPr="00025B12" w:rsidRDefault="009349B5" w:rsidP="0039553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1749" w:type="dxa"/>
            <w:tcBorders>
              <w:top w:val="dotted" w:sz="4" w:space="0" w:color="auto"/>
              <w:left w:val="dotted" w:sz="4" w:space="0" w:color="auto"/>
            </w:tcBorders>
            <w:vAlign w:val="center"/>
          </w:tcPr>
          <w:p w:rsidR="009349B5" w:rsidRPr="00025B12" w:rsidRDefault="009349B5"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 (2011)</w:t>
            </w:r>
          </w:p>
        </w:tc>
      </w:tr>
      <w:tr w:rsidR="00A9209D" w:rsidRPr="00025B12" w:rsidTr="009375A6">
        <w:trPr>
          <w:trHeight w:val="274"/>
        </w:trPr>
        <w:tc>
          <w:tcPr>
            <w:tcW w:w="9288" w:type="dxa"/>
            <w:gridSpan w:val="5"/>
            <w:shd w:val="clear" w:color="auto" w:fill="663399"/>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9375A6">
        <w:trPr>
          <w:trHeight w:val="1319"/>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A9209D" w:rsidRPr="00025B12" w:rsidRDefault="00A9209D" w:rsidP="00A9209D">
            <w:pPr>
              <w:jc w:val="both"/>
              <w:rPr>
                <w:rFonts w:ascii="Verdana" w:hAnsi="Verdana"/>
                <w:sz w:val="18"/>
                <w:szCs w:val="18"/>
              </w:rPr>
            </w:pPr>
            <w:r w:rsidRPr="00025B12">
              <w:rPr>
                <w:rFonts w:ascii="Verdana" w:hAnsi="Verdana"/>
                <w:sz w:val="18"/>
                <w:szCs w:val="18"/>
              </w:rPr>
              <w:t>Indikátor vychází ze stejné metodiky a dat jako indikátory IV.0.2 a IV.1.1, ale vztahuje se k neformálnímu vzdělávání (viz definice u indikátoru IV.1.1).</w:t>
            </w:r>
          </w:p>
        </w:tc>
      </w:tr>
      <w:tr w:rsidR="00A9209D" w:rsidRPr="00025B12" w:rsidTr="009375A6">
        <w:trPr>
          <w:trHeight w:val="992"/>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A9209D" w:rsidRPr="00025B12" w:rsidRDefault="00A9209D" w:rsidP="00A9209D">
            <w:pPr>
              <w:jc w:val="both"/>
              <w:rPr>
                <w:rFonts w:ascii="Verdana" w:hAnsi="Verdana"/>
                <w:sz w:val="18"/>
                <w:szCs w:val="18"/>
              </w:rPr>
            </w:pPr>
            <w:r w:rsidRPr="00025B12">
              <w:rPr>
                <w:rFonts w:ascii="Verdana" w:hAnsi="Verdana"/>
                <w:sz w:val="18"/>
                <w:szCs w:val="18"/>
              </w:rPr>
              <w:t>Indikátor je počítán jako podíl lidí, kteří se v uplynulých 12 měsíců účastnili neformálního vzdělávání, v populaci 25-64.</w:t>
            </w:r>
          </w:p>
        </w:tc>
      </w:tr>
      <w:tr w:rsidR="00A9209D" w:rsidRPr="00025B12" w:rsidTr="009375A6">
        <w:trPr>
          <w:trHeight w:val="423"/>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A9209D" w:rsidRPr="00025B12" w:rsidRDefault="00A9209D" w:rsidP="00A9209D">
            <w:pPr>
              <w:jc w:val="both"/>
              <w:rPr>
                <w:rFonts w:ascii="Verdana" w:hAnsi="Verdana"/>
                <w:sz w:val="18"/>
                <w:szCs w:val="18"/>
              </w:rPr>
            </w:pPr>
            <w:r w:rsidRPr="00025B12">
              <w:rPr>
                <w:rFonts w:ascii="Verdana" w:hAnsi="Verdana"/>
                <w:sz w:val="18"/>
                <w:szCs w:val="18"/>
              </w:rPr>
              <w:t>Mezinárodní data jsou veřejně publikována v databázi Eurostatu. Krajské členění publikováno na stránkách ČSÚ není a musí být dopočítáváno z</w:t>
            </w:r>
            <w:r w:rsidR="00BD18A0" w:rsidRPr="00025B12">
              <w:rPr>
                <w:rFonts w:ascii="Verdana" w:hAnsi="Verdana"/>
                <w:sz w:val="18"/>
                <w:szCs w:val="18"/>
              </w:rPr>
              <w:t> </w:t>
            </w:r>
            <w:r w:rsidRPr="00025B12">
              <w:rPr>
                <w:rFonts w:ascii="Verdana" w:hAnsi="Verdana"/>
                <w:sz w:val="18"/>
                <w:szCs w:val="18"/>
              </w:rPr>
              <w:t>mikrodat</w:t>
            </w:r>
            <w:r w:rsidR="00BD18A0" w:rsidRPr="00025B12">
              <w:rPr>
                <w:rFonts w:ascii="Verdana" w:hAnsi="Verdana"/>
                <w:sz w:val="18"/>
                <w:szCs w:val="18"/>
              </w:rPr>
              <w:t>, spolehlivost krajského členění musí být ověřena na mikrodatech</w:t>
            </w:r>
            <w:r w:rsidRPr="00025B12">
              <w:rPr>
                <w:rFonts w:ascii="Verdana" w:hAnsi="Verdana"/>
                <w:sz w:val="18"/>
                <w:szCs w:val="18"/>
              </w:rPr>
              <w:t>.</w:t>
            </w:r>
          </w:p>
        </w:tc>
      </w:tr>
      <w:tr w:rsidR="00A9209D" w:rsidRPr="00025B12" w:rsidTr="009375A6">
        <w:trPr>
          <w:trHeight w:val="837"/>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A9209D" w:rsidRPr="00025B12" w:rsidRDefault="00A9209D" w:rsidP="00A9209D">
            <w:pPr>
              <w:jc w:val="both"/>
              <w:rPr>
                <w:rFonts w:ascii="Verdana" w:hAnsi="Verdana"/>
                <w:sz w:val="18"/>
                <w:szCs w:val="18"/>
              </w:rPr>
            </w:pPr>
            <w:r w:rsidRPr="00025B12">
              <w:rPr>
                <w:rFonts w:ascii="Verdana" w:hAnsi="Verdana"/>
                <w:sz w:val="18"/>
                <w:szCs w:val="18"/>
              </w:rPr>
              <w:t>Zdrojem dat je pro tento indikátor šetření AES, které zatím bylo realizováno pouze jednou a plánuje pětiletou frekvenci, což omezuje možnosti jeho využívání. Ideální by bylo začlenění otázky vztahující se k 12 měsícům do šetření VŠPS a postupný přechod na tento indikátor.</w:t>
            </w:r>
          </w:p>
        </w:tc>
      </w:tr>
    </w:tbl>
    <w:p w:rsidR="00A9209D" w:rsidRPr="00025B12" w:rsidRDefault="00A9209D" w:rsidP="00A9209D"/>
    <w:p w:rsidR="00A9209D" w:rsidRPr="00025B12" w:rsidRDefault="00A9209D" w:rsidP="000C6631">
      <w:pPr>
        <w:outlineLvl w:val="0"/>
      </w:pPr>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1893"/>
        <w:gridCol w:w="2239"/>
        <w:gridCol w:w="2055"/>
        <w:gridCol w:w="1675"/>
      </w:tblGrid>
      <w:tr w:rsidR="00A9209D" w:rsidRPr="00025B12" w:rsidTr="009375A6">
        <w:trPr>
          <w:trHeight w:val="425"/>
        </w:trPr>
        <w:tc>
          <w:tcPr>
            <w:tcW w:w="1426" w:type="dxa"/>
            <w:tcBorders>
              <w:bottom w:val="single" w:sz="4" w:space="0" w:color="auto"/>
              <w:right w:val="single" w:sz="4" w:space="0" w:color="auto"/>
            </w:tcBorders>
            <w:shd w:val="clear" w:color="auto" w:fill="663399"/>
            <w:vAlign w:val="center"/>
          </w:tcPr>
          <w:p w:rsidR="00A9209D" w:rsidRPr="00025B12" w:rsidRDefault="00A9209D" w:rsidP="00A9209D">
            <w:pPr>
              <w:pStyle w:val="Kd"/>
              <w:rPr>
                <w:sz w:val="18"/>
                <w:szCs w:val="18"/>
              </w:rPr>
            </w:pPr>
            <w:r w:rsidRPr="00025B12">
              <w:rPr>
                <w:sz w:val="18"/>
                <w:szCs w:val="18"/>
              </w:rPr>
              <w:br w:type="page"/>
            </w:r>
            <w:r w:rsidRPr="00025B12">
              <w:rPr>
                <w:sz w:val="18"/>
                <w:szCs w:val="18"/>
              </w:rPr>
              <w:br w:type="page"/>
            </w:r>
            <w:bookmarkStart w:id="123" w:name="IV27"/>
            <w:r w:rsidRPr="00025B12">
              <w:rPr>
                <w:sz w:val="18"/>
                <w:szCs w:val="18"/>
              </w:rPr>
              <w:t>IV.2.</w:t>
            </w:r>
            <w:bookmarkEnd w:id="123"/>
            <w:r w:rsidR="00741F81" w:rsidRPr="00025B12">
              <w:rPr>
                <w:sz w:val="18"/>
                <w:szCs w:val="18"/>
              </w:rPr>
              <w:t>d2</w:t>
            </w:r>
          </w:p>
        </w:tc>
        <w:tc>
          <w:tcPr>
            <w:tcW w:w="7862" w:type="dxa"/>
            <w:gridSpan w:val="4"/>
            <w:vMerge w:val="restart"/>
            <w:tcBorders>
              <w:top w:val="single" w:sz="4" w:space="0" w:color="auto"/>
              <w:left w:val="single" w:sz="4" w:space="0" w:color="auto"/>
              <w:right w:val="single" w:sz="4" w:space="0" w:color="auto"/>
            </w:tcBorders>
            <w:shd w:val="clear" w:color="auto" w:fill="663399"/>
            <w:vAlign w:val="center"/>
          </w:tcPr>
          <w:p w:rsidR="00A9209D" w:rsidRPr="00025B12" w:rsidRDefault="00A9209D"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Účast nezaměstnaných na rekvalifikacích</w:t>
            </w:r>
          </w:p>
        </w:tc>
      </w:tr>
      <w:tr w:rsidR="00A9209D" w:rsidRPr="00025B12" w:rsidTr="009375A6">
        <w:trPr>
          <w:trHeight w:val="360"/>
        </w:trPr>
        <w:tc>
          <w:tcPr>
            <w:tcW w:w="1426" w:type="dxa"/>
            <w:tcBorders>
              <w:top w:val="single" w:sz="4" w:space="0" w:color="auto"/>
              <w:bottom w:val="single" w:sz="4" w:space="0" w:color="auto"/>
              <w:right w:val="single" w:sz="4" w:space="0" w:color="auto"/>
            </w:tcBorders>
            <w:shd w:val="clear" w:color="auto" w:fill="663399"/>
            <w:vAlign w:val="center"/>
          </w:tcPr>
          <w:p w:rsidR="00A9209D" w:rsidRPr="00025B12" w:rsidRDefault="00834CE6"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62" w:type="dxa"/>
            <w:gridSpan w:val="4"/>
            <w:vMerge/>
            <w:tcBorders>
              <w:left w:val="single" w:sz="4" w:space="0" w:color="auto"/>
              <w:bottom w:val="single" w:sz="4" w:space="0" w:color="auto"/>
              <w:right w:val="single"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296FE3">
        <w:trPr>
          <w:trHeight w:val="360"/>
        </w:trPr>
        <w:tc>
          <w:tcPr>
            <w:tcW w:w="1426" w:type="dxa"/>
            <w:tcBorders>
              <w:top w:val="single"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p>
        </w:tc>
        <w:tc>
          <w:tcPr>
            <w:tcW w:w="1893"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39"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55"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75" w:type="dxa"/>
            <w:tcBorders>
              <w:top w:val="single" w:sz="4" w:space="0" w:color="auto"/>
              <w:left w:val="dotted" w:sz="4" w:space="0" w:color="auto"/>
              <w:bottom w:val="dotted" w:sz="4" w:space="0" w:color="auto"/>
            </w:tcBorders>
            <w:vAlign w:val="center"/>
          </w:tcPr>
          <w:p w:rsidR="00A9209D" w:rsidRPr="00025B12" w:rsidRDefault="00A9209D"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A9209D" w:rsidRPr="00025B12" w:rsidTr="009375A6">
        <w:trPr>
          <w:trHeight w:val="360"/>
        </w:trPr>
        <w:tc>
          <w:tcPr>
            <w:tcW w:w="1426" w:type="dxa"/>
            <w:tcBorders>
              <w:top w:val="dotted"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93"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39"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55"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75" w:type="dxa"/>
            <w:tcBorders>
              <w:top w:val="dotted" w:sz="4" w:space="0" w:color="auto"/>
              <w:left w:val="dotted" w:sz="4" w:space="0" w:color="auto"/>
              <w:bottom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A9209D" w:rsidRPr="00025B12" w:rsidTr="009375A6">
        <w:trPr>
          <w:trHeight w:val="360"/>
        </w:trPr>
        <w:tc>
          <w:tcPr>
            <w:tcW w:w="1426" w:type="dxa"/>
            <w:tcBorders>
              <w:top w:val="dotted"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93" w:type="dxa"/>
            <w:tcBorders>
              <w:top w:val="dotted" w:sz="4" w:space="0" w:color="auto"/>
              <w:left w:val="dotted" w:sz="4" w:space="0" w:color="auto"/>
              <w:bottom w:val="dotted" w:sz="4" w:space="0" w:color="auto"/>
              <w:right w:val="dotted" w:sz="4" w:space="0" w:color="auto"/>
            </w:tcBorders>
            <w:vAlign w:val="center"/>
          </w:tcPr>
          <w:p w:rsidR="00A9209D" w:rsidRPr="00025B12" w:rsidRDefault="00665F1D" w:rsidP="00A9209D">
            <w:pPr>
              <w:spacing w:after="0" w:line="240" w:lineRule="auto"/>
              <w:jc w:val="center"/>
              <w:rPr>
                <w:rFonts w:ascii="Verdana" w:eastAsiaTheme="minorHAnsi" w:hAnsi="Verdana" w:cstheme="minorBidi"/>
                <w:sz w:val="18"/>
                <w:szCs w:val="18"/>
              </w:rPr>
            </w:pPr>
            <w:hyperlink w:anchor="ISSZ" w:history="1">
              <w:r w:rsidR="009375A6" w:rsidRPr="00025B12">
                <w:rPr>
                  <w:rStyle w:val="Hypertextovodkaz"/>
                  <w:rFonts w:ascii="Verdana" w:eastAsiaTheme="minorHAnsi" w:hAnsi="Verdana" w:cstheme="minorBidi"/>
                  <w:sz w:val="18"/>
                  <w:szCs w:val="18"/>
                </w:rPr>
                <w:t>Informační systém služeb zaměstnanosti</w:t>
              </w:r>
            </w:hyperlink>
          </w:p>
        </w:tc>
        <w:tc>
          <w:tcPr>
            <w:tcW w:w="2239"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MPSV</w:t>
            </w:r>
          </w:p>
        </w:tc>
        <w:tc>
          <w:tcPr>
            <w:tcW w:w="2055"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75" w:type="dxa"/>
            <w:tcBorders>
              <w:top w:val="dotted" w:sz="4" w:space="0" w:color="auto"/>
              <w:left w:val="dotted" w:sz="4" w:space="0" w:color="auto"/>
              <w:bottom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w:t>
            </w:r>
            <w:r w:rsidR="00BD18A0" w:rsidRPr="00025B12">
              <w:rPr>
                <w:rFonts w:ascii="Verdana" w:eastAsiaTheme="minorHAnsi" w:hAnsi="Verdana" w:cstheme="minorBidi"/>
                <w:sz w:val="18"/>
                <w:szCs w:val="18"/>
              </w:rPr>
              <w:t>0</w:t>
            </w:r>
          </w:p>
        </w:tc>
      </w:tr>
      <w:tr w:rsidR="009375A6" w:rsidRPr="00025B12" w:rsidTr="009375A6">
        <w:trPr>
          <w:trHeight w:val="360"/>
        </w:trPr>
        <w:tc>
          <w:tcPr>
            <w:tcW w:w="1426" w:type="dxa"/>
            <w:tcBorders>
              <w:top w:val="dotted" w:sz="4" w:space="0" w:color="auto"/>
              <w:right w:val="dotted" w:sz="4" w:space="0" w:color="auto"/>
            </w:tcBorders>
          </w:tcPr>
          <w:p w:rsidR="009375A6" w:rsidRPr="00025B12" w:rsidRDefault="009375A6"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93" w:type="dxa"/>
            <w:tcBorders>
              <w:top w:val="dotted" w:sz="4" w:space="0" w:color="auto"/>
              <w:left w:val="dotted" w:sz="4" w:space="0" w:color="auto"/>
              <w:right w:val="dotted" w:sz="4" w:space="0" w:color="auto"/>
            </w:tcBorders>
            <w:vAlign w:val="center"/>
          </w:tcPr>
          <w:p w:rsidR="009375A6" w:rsidRPr="00025B12" w:rsidRDefault="00665F1D" w:rsidP="005F2F0A">
            <w:pPr>
              <w:spacing w:after="0" w:line="240" w:lineRule="auto"/>
              <w:jc w:val="center"/>
              <w:rPr>
                <w:rFonts w:ascii="Verdana" w:eastAsiaTheme="minorHAnsi" w:hAnsi="Verdana" w:cstheme="minorBidi"/>
                <w:sz w:val="18"/>
                <w:szCs w:val="18"/>
              </w:rPr>
            </w:pPr>
            <w:hyperlink w:anchor="ISSZ" w:history="1">
              <w:r w:rsidR="009375A6" w:rsidRPr="00025B12">
                <w:rPr>
                  <w:rStyle w:val="Hypertextovodkaz"/>
                  <w:rFonts w:ascii="Verdana" w:eastAsiaTheme="minorHAnsi" w:hAnsi="Verdana" w:cstheme="minorBidi"/>
                  <w:sz w:val="18"/>
                  <w:szCs w:val="18"/>
                </w:rPr>
                <w:t>Informační systém služeb zaměstnanosti</w:t>
              </w:r>
            </w:hyperlink>
          </w:p>
        </w:tc>
        <w:tc>
          <w:tcPr>
            <w:tcW w:w="2239" w:type="dxa"/>
            <w:tcBorders>
              <w:top w:val="dotted" w:sz="4" w:space="0" w:color="auto"/>
              <w:left w:val="dotted" w:sz="4" w:space="0" w:color="auto"/>
              <w:right w:val="dotted" w:sz="4" w:space="0" w:color="auto"/>
            </w:tcBorders>
            <w:vAlign w:val="center"/>
          </w:tcPr>
          <w:p w:rsidR="009375A6" w:rsidRPr="00025B12" w:rsidRDefault="009375A6"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MPSV</w:t>
            </w:r>
          </w:p>
        </w:tc>
        <w:tc>
          <w:tcPr>
            <w:tcW w:w="2055" w:type="dxa"/>
            <w:tcBorders>
              <w:top w:val="dotted" w:sz="4" w:space="0" w:color="auto"/>
              <w:left w:val="dotted" w:sz="4" w:space="0" w:color="auto"/>
              <w:right w:val="dotted" w:sz="4" w:space="0" w:color="auto"/>
            </w:tcBorders>
            <w:vAlign w:val="center"/>
          </w:tcPr>
          <w:p w:rsidR="009375A6" w:rsidRPr="00025B12" w:rsidRDefault="009375A6"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675" w:type="dxa"/>
            <w:tcBorders>
              <w:top w:val="dotted" w:sz="4" w:space="0" w:color="auto"/>
              <w:left w:val="dotted" w:sz="4" w:space="0" w:color="auto"/>
            </w:tcBorders>
            <w:vAlign w:val="center"/>
          </w:tcPr>
          <w:p w:rsidR="009375A6" w:rsidRPr="00025B12" w:rsidRDefault="009375A6"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w:t>
            </w:r>
            <w:r w:rsidR="00BD18A0" w:rsidRPr="00025B12">
              <w:rPr>
                <w:rFonts w:ascii="Verdana" w:eastAsiaTheme="minorHAnsi" w:hAnsi="Verdana" w:cstheme="minorBidi"/>
                <w:sz w:val="18"/>
                <w:szCs w:val="18"/>
              </w:rPr>
              <w:t>0</w:t>
            </w:r>
          </w:p>
        </w:tc>
      </w:tr>
      <w:tr w:rsidR="00A9209D" w:rsidRPr="00025B12" w:rsidTr="009375A6">
        <w:trPr>
          <w:trHeight w:val="274"/>
        </w:trPr>
        <w:tc>
          <w:tcPr>
            <w:tcW w:w="9288" w:type="dxa"/>
            <w:gridSpan w:val="5"/>
            <w:shd w:val="clear" w:color="auto" w:fill="663399"/>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9375A6">
        <w:trPr>
          <w:trHeight w:val="1886"/>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A9209D" w:rsidRPr="00025B12" w:rsidRDefault="00A9209D" w:rsidP="00A9209D">
            <w:pPr>
              <w:jc w:val="both"/>
              <w:rPr>
                <w:rFonts w:ascii="Verdana" w:hAnsi="Verdana"/>
                <w:sz w:val="18"/>
                <w:szCs w:val="18"/>
              </w:rPr>
            </w:pPr>
            <w:r w:rsidRPr="00025B12">
              <w:rPr>
                <w:rFonts w:ascii="Verdana" w:hAnsi="Verdana"/>
                <w:sz w:val="18"/>
                <w:szCs w:val="18"/>
              </w:rPr>
              <w:t>Účast nezaměstnaných na dalším vzdělání je specifickou skupinou dalšího vzdělávání. Jejich vzdělávání je zpravidla financováno z veřejných zdrojů a ovlivňuje jejich následnou zaměstnatelnost. Informace o rozsahu účasti nezaměstnaných na dalším vzdělávání a efektivitě jejich vzdělávání ve vztahu k nalezení zaměstnání je velmi důležitým ukazatelem.</w:t>
            </w:r>
          </w:p>
        </w:tc>
      </w:tr>
      <w:tr w:rsidR="00A9209D" w:rsidRPr="00025B12" w:rsidTr="009375A6">
        <w:trPr>
          <w:trHeight w:val="992"/>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A9209D" w:rsidRPr="00025B12" w:rsidRDefault="00A9209D" w:rsidP="00A9209D">
            <w:pPr>
              <w:jc w:val="both"/>
              <w:rPr>
                <w:rFonts w:ascii="Verdana" w:hAnsi="Verdana"/>
                <w:sz w:val="18"/>
                <w:szCs w:val="18"/>
              </w:rPr>
            </w:pPr>
            <w:r w:rsidRPr="00025B12">
              <w:rPr>
                <w:rFonts w:ascii="Verdana" w:hAnsi="Verdana"/>
                <w:sz w:val="18"/>
                <w:szCs w:val="18"/>
              </w:rPr>
              <w:t>Hlavním skupinu dalšího vzdělávání nezaměstnaných tvoří rekvalifikace, které jsou využity jako základ pro tvorbu indikátoru pro ČR a krajské srovnání. Na mezinárodní úrovni však informace o rekvalifikacích nejsou k dispozici, neboť závisejí na formě a organizaci sociálního systému v dané zemi. Za ukazatel pro mezinárodní srovnání je tedy možné považovat indikátor IV.2.1 pro skupinu nezaměstnaných.</w:t>
            </w:r>
          </w:p>
          <w:p w:rsidR="00A9209D" w:rsidRPr="00025B12" w:rsidRDefault="00A9209D" w:rsidP="00A9209D">
            <w:pPr>
              <w:jc w:val="both"/>
              <w:rPr>
                <w:rFonts w:ascii="Verdana" w:hAnsi="Verdana"/>
                <w:sz w:val="18"/>
                <w:szCs w:val="18"/>
              </w:rPr>
            </w:pPr>
            <w:r w:rsidRPr="00025B12">
              <w:rPr>
                <w:rFonts w:ascii="Verdana" w:hAnsi="Verdana"/>
                <w:sz w:val="18"/>
                <w:szCs w:val="18"/>
              </w:rPr>
              <w:t>Pro krajské srovnání jsou použita data MPSV (úřadů práce) o počtech uchazečů o zaměstnání a rekvalifikací. Indikátor je spočítán jako poměr počtu účastníků rekvalifikací</w:t>
            </w:r>
            <w:r w:rsidRPr="00025B12">
              <w:rPr>
                <w:rStyle w:val="Znakapoznpodarou"/>
                <w:rFonts w:ascii="Verdana" w:hAnsi="Verdana"/>
                <w:sz w:val="18"/>
                <w:szCs w:val="18"/>
              </w:rPr>
              <w:footnoteReference w:id="2"/>
            </w:r>
            <w:r w:rsidRPr="00025B12">
              <w:rPr>
                <w:rFonts w:ascii="Verdana" w:hAnsi="Verdana"/>
                <w:sz w:val="18"/>
                <w:szCs w:val="18"/>
              </w:rPr>
              <w:t xml:space="preserve"> v daném roce k počtu uchazečů o zaměstnání k 31.12. předchozího roku. Připojen je také další indikátor, který vyhodnocuje úspěšnost uchazečů o zaměstnání (Poměr počtu umístěných uchazečů do 12 měsíců po úspěšně ukončené rekvalifikaci k počtu uchazečů o zaměstnání s úspěšně ukončenou rekvalifikací). </w:t>
            </w:r>
          </w:p>
        </w:tc>
      </w:tr>
      <w:tr w:rsidR="00A9209D" w:rsidRPr="00025B12" w:rsidTr="009375A6">
        <w:trPr>
          <w:trHeight w:val="423"/>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A9209D" w:rsidRPr="00025B12" w:rsidRDefault="00A9209D" w:rsidP="009375A6">
            <w:pPr>
              <w:jc w:val="both"/>
              <w:rPr>
                <w:rFonts w:ascii="Verdana" w:hAnsi="Verdana"/>
                <w:sz w:val="18"/>
                <w:szCs w:val="18"/>
              </w:rPr>
            </w:pPr>
            <w:r w:rsidRPr="00025B12">
              <w:rPr>
                <w:rFonts w:ascii="Verdana" w:hAnsi="Verdana"/>
                <w:sz w:val="18"/>
                <w:szCs w:val="18"/>
              </w:rPr>
              <w:t>Primárním zdrojem dat jsou data z úřadů práce (</w:t>
            </w:r>
            <w:r w:rsidR="009375A6" w:rsidRPr="00025B12">
              <w:rPr>
                <w:rFonts w:ascii="Verdana" w:hAnsi="Verdana"/>
                <w:sz w:val="18"/>
                <w:szCs w:val="18"/>
              </w:rPr>
              <w:t>Informační systém služeb zaměstnanosti – OK práce</w:t>
            </w:r>
            <w:r w:rsidRPr="00025B12">
              <w:rPr>
                <w:rFonts w:ascii="Verdana" w:hAnsi="Verdana"/>
                <w:sz w:val="18"/>
                <w:szCs w:val="18"/>
              </w:rPr>
              <w:t>), pro výpočet indikátorů ale byly použity publikace ČSÚ „Vývoj lidských zdrojů v krajích - vybrané kapitoly v letech 2000 až 2009“, které obsahovaly již vypočtený indikátor pro jednotlivé kraje. Zmíněné publikace však byly vydány jednorázově, pro další použití musí být indikátor počítán přímo z údajů MPSV, které jsou však na portále MPSV publikovány po okresech a výpočet z těchto publikovaných dat je poměrně časově náročný.</w:t>
            </w:r>
          </w:p>
        </w:tc>
      </w:tr>
      <w:tr w:rsidR="00A9209D" w:rsidRPr="00025B12" w:rsidTr="009375A6">
        <w:trPr>
          <w:trHeight w:val="837"/>
        </w:trPr>
        <w:tc>
          <w:tcPr>
            <w:tcW w:w="9288"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A9209D" w:rsidRPr="00025B12" w:rsidRDefault="00A9209D" w:rsidP="00A9209D">
            <w:pPr>
              <w:jc w:val="both"/>
              <w:rPr>
                <w:rFonts w:ascii="Verdana" w:hAnsi="Verdana"/>
                <w:sz w:val="18"/>
                <w:szCs w:val="18"/>
              </w:rPr>
            </w:pPr>
            <w:r w:rsidRPr="00025B12">
              <w:rPr>
                <w:rFonts w:ascii="Verdana" w:hAnsi="Verdana"/>
                <w:sz w:val="18"/>
                <w:szCs w:val="18"/>
              </w:rPr>
              <w:t>-</w:t>
            </w:r>
          </w:p>
        </w:tc>
      </w:tr>
    </w:tbl>
    <w:p w:rsidR="00A9209D" w:rsidRPr="00025B12" w:rsidRDefault="00A9209D" w:rsidP="00A9209D"/>
    <w:p w:rsidR="00A9209D" w:rsidRPr="00025B12" w:rsidRDefault="00A9209D" w:rsidP="00A9209D">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951"/>
        <w:gridCol w:w="2194"/>
        <w:gridCol w:w="2020"/>
        <w:gridCol w:w="1655"/>
      </w:tblGrid>
      <w:tr w:rsidR="00A9209D" w:rsidRPr="00025B12" w:rsidTr="00A9209D">
        <w:trPr>
          <w:trHeight w:val="425"/>
        </w:trPr>
        <w:tc>
          <w:tcPr>
            <w:tcW w:w="1574" w:type="dxa"/>
            <w:tcBorders>
              <w:bottom w:val="single" w:sz="4" w:space="0" w:color="auto"/>
              <w:right w:val="single" w:sz="4" w:space="0" w:color="auto"/>
            </w:tcBorders>
            <w:shd w:val="clear" w:color="auto" w:fill="663399"/>
            <w:vAlign w:val="center"/>
          </w:tcPr>
          <w:p w:rsidR="00A9209D" w:rsidRPr="00025B12" w:rsidRDefault="00A9209D" w:rsidP="00A9209D">
            <w:pPr>
              <w:pStyle w:val="Kd"/>
              <w:rPr>
                <w:sz w:val="18"/>
                <w:szCs w:val="18"/>
              </w:rPr>
            </w:pPr>
            <w:r w:rsidRPr="00025B12">
              <w:rPr>
                <w:sz w:val="18"/>
                <w:szCs w:val="18"/>
              </w:rPr>
              <w:br w:type="page"/>
            </w:r>
            <w:r w:rsidRPr="00025B12">
              <w:rPr>
                <w:sz w:val="18"/>
                <w:szCs w:val="18"/>
              </w:rPr>
              <w:br w:type="page"/>
            </w:r>
            <w:bookmarkStart w:id="124" w:name="IV28"/>
            <w:r w:rsidRPr="00025B12">
              <w:rPr>
                <w:sz w:val="18"/>
                <w:szCs w:val="18"/>
              </w:rPr>
              <w:t>IV.2.</w:t>
            </w:r>
            <w:bookmarkEnd w:id="124"/>
            <w:r w:rsidR="00741F81" w:rsidRPr="00025B12">
              <w:rPr>
                <w:sz w:val="18"/>
                <w:szCs w:val="18"/>
              </w:rPr>
              <w:t>d3</w:t>
            </w:r>
          </w:p>
        </w:tc>
        <w:tc>
          <w:tcPr>
            <w:tcW w:w="9108" w:type="dxa"/>
            <w:gridSpan w:val="4"/>
            <w:vMerge w:val="restart"/>
            <w:tcBorders>
              <w:top w:val="single" w:sz="4" w:space="0" w:color="auto"/>
              <w:left w:val="single" w:sz="4" w:space="0" w:color="auto"/>
              <w:right w:val="single" w:sz="4" w:space="0" w:color="auto"/>
            </w:tcBorders>
            <w:shd w:val="clear" w:color="auto" w:fill="663399"/>
            <w:vAlign w:val="center"/>
          </w:tcPr>
          <w:p w:rsidR="00A9209D" w:rsidRPr="00025B12" w:rsidRDefault="00A9209D" w:rsidP="00A9209D">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Účast na akreditovaných kurzech DV</w:t>
            </w:r>
          </w:p>
        </w:tc>
      </w:tr>
      <w:tr w:rsidR="00A9209D" w:rsidRPr="00025B12" w:rsidTr="00A9209D">
        <w:trPr>
          <w:trHeight w:val="360"/>
        </w:trPr>
        <w:tc>
          <w:tcPr>
            <w:tcW w:w="1574" w:type="dxa"/>
            <w:tcBorders>
              <w:top w:val="single" w:sz="4" w:space="0" w:color="auto"/>
              <w:bottom w:val="single" w:sz="4" w:space="0" w:color="auto"/>
              <w:right w:val="single" w:sz="4" w:space="0" w:color="auto"/>
            </w:tcBorders>
            <w:shd w:val="clear" w:color="auto" w:fill="663399"/>
            <w:vAlign w:val="center"/>
          </w:tcPr>
          <w:p w:rsidR="00A9209D" w:rsidRPr="00025B12" w:rsidRDefault="0032034B" w:rsidP="00A9209D">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9108" w:type="dxa"/>
            <w:gridSpan w:val="4"/>
            <w:vMerge/>
            <w:tcBorders>
              <w:left w:val="single" w:sz="4" w:space="0" w:color="auto"/>
              <w:bottom w:val="single" w:sz="4" w:space="0" w:color="auto"/>
              <w:right w:val="single"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296FE3">
        <w:trPr>
          <w:trHeight w:val="360"/>
        </w:trPr>
        <w:tc>
          <w:tcPr>
            <w:tcW w:w="1574" w:type="dxa"/>
            <w:tcBorders>
              <w:top w:val="single"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sz w:val="18"/>
                <w:szCs w:val="18"/>
              </w:rPr>
            </w:pPr>
          </w:p>
        </w:tc>
        <w:tc>
          <w:tcPr>
            <w:tcW w:w="2026"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579"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434" w:type="dxa"/>
            <w:tcBorders>
              <w:top w:val="single"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A9209D" w:rsidRPr="00025B12" w:rsidRDefault="00A9209D"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A9209D" w:rsidRPr="00025B12" w:rsidTr="00A9209D">
        <w:trPr>
          <w:trHeight w:val="360"/>
        </w:trPr>
        <w:tc>
          <w:tcPr>
            <w:tcW w:w="1574" w:type="dxa"/>
            <w:tcBorders>
              <w:top w:val="dotted"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2026"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579"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434"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bottom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A9209D" w:rsidRPr="00025B12" w:rsidTr="00A9209D">
        <w:trPr>
          <w:trHeight w:val="360"/>
        </w:trPr>
        <w:tc>
          <w:tcPr>
            <w:tcW w:w="1574" w:type="dxa"/>
            <w:tcBorders>
              <w:top w:val="dotted" w:sz="4" w:space="0" w:color="auto"/>
              <w:bottom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2026" w:type="dxa"/>
            <w:tcBorders>
              <w:top w:val="dotted" w:sz="4" w:space="0" w:color="auto"/>
              <w:left w:val="dotted" w:sz="4" w:space="0" w:color="auto"/>
              <w:bottom w:val="dotted" w:sz="4" w:space="0" w:color="auto"/>
              <w:right w:val="dotted" w:sz="4" w:space="0" w:color="auto"/>
            </w:tcBorders>
            <w:vAlign w:val="center"/>
          </w:tcPr>
          <w:p w:rsidR="00A9209D" w:rsidRPr="00025B12" w:rsidRDefault="00665F1D" w:rsidP="00A9209D">
            <w:pPr>
              <w:spacing w:after="0" w:line="240" w:lineRule="auto"/>
              <w:jc w:val="center"/>
              <w:rPr>
                <w:rFonts w:ascii="Verdana" w:eastAsiaTheme="minorHAnsi" w:hAnsi="Verdana" w:cstheme="minorBidi"/>
                <w:sz w:val="18"/>
                <w:szCs w:val="18"/>
              </w:rPr>
            </w:pPr>
            <w:hyperlink w:anchor="Sběr_dat_UIV" w:history="1">
              <w:r w:rsidR="00A9209D" w:rsidRPr="00025B12">
                <w:rPr>
                  <w:rStyle w:val="Hypertextovodkaz"/>
                  <w:rFonts w:ascii="Verdana" w:hAnsi="Verdana"/>
                  <w:sz w:val="18"/>
                  <w:szCs w:val="18"/>
                </w:rPr>
                <w:t>Sběr dat o akreditovaných a neakreditovaných kurzech DV</w:t>
              </w:r>
            </w:hyperlink>
          </w:p>
        </w:tc>
        <w:tc>
          <w:tcPr>
            <w:tcW w:w="2579"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ÚIV</w:t>
            </w:r>
          </w:p>
        </w:tc>
        <w:tc>
          <w:tcPr>
            <w:tcW w:w="2434" w:type="dxa"/>
            <w:tcBorders>
              <w:top w:val="dotted" w:sz="4" w:space="0" w:color="auto"/>
              <w:left w:val="dotted" w:sz="4" w:space="0" w:color="auto"/>
              <w:bottom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2069" w:type="dxa"/>
            <w:tcBorders>
              <w:top w:val="dotted" w:sz="4" w:space="0" w:color="auto"/>
              <w:left w:val="dotted" w:sz="4" w:space="0" w:color="auto"/>
              <w:bottom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2003-4 a 2007-10</w:t>
            </w:r>
          </w:p>
        </w:tc>
      </w:tr>
      <w:tr w:rsidR="00A9209D" w:rsidRPr="00025B12" w:rsidTr="00A9209D">
        <w:trPr>
          <w:trHeight w:val="360"/>
        </w:trPr>
        <w:tc>
          <w:tcPr>
            <w:tcW w:w="1574" w:type="dxa"/>
            <w:tcBorders>
              <w:top w:val="dotted" w:sz="4" w:space="0" w:color="auto"/>
              <w:right w:val="dotted" w:sz="4" w:space="0" w:color="auto"/>
            </w:tcBorders>
          </w:tcPr>
          <w:p w:rsidR="00A9209D" w:rsidRPr="00025B12" w:rsidRDefault="00A9209D" w:rsidP="00A9209D">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2026" w:type="dxa"/>
            <w:tcBorders>
              <w:top w:val="dotted" w:sz="4" w:space="0" w:color="auto"/>
              <w:left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579" w:type="dxa"/>
            <w:tcBorders>
              <w:top w:val="dotted" w:sz="4" w:space="0" w:color="auto"/>
              <w:left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434" w:type="dxa"/>
            <w:tcBorders>
              <w:top w:val="dotted" w:sz="4" w:space="0" w:color="auto"/>
              <w:left w:val="dotted" w:sz="4" w:space="0" w:color="auto"/>
              <w:righ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A9209D" w:rsidRPr="00025B12" w:rsidRDefault="00A9209D" w:rsidP="00A9209D">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A9209D" w:rsidRPr="00025B12" w:rsidTr="00A9209D">
        <w:trPr>
          <w:trHeight w:val="274"/>
        </w:trPr>
        <w:tc>
          <w:tcPr>
            <w:tcW w:w="10682" w:type="dxa"/>
            <w:gridSpan w:val="5"/>
            <w:shd w:val="clear" w:color="auto" w:fill="663399"/>
          </w:tcPr>
          <w:p w:rsidR="00A9209D" w:rsidRPr="00025B12" w:rsidRDefault="00A9209D" w:rsidP="00A9209D">
            <w:pPr>
              <w:spacing w:after="0" w:line="240" w:lineRule="auto"/>
              <w:jc w:val="center"/>
              <w:rPr>
                <w:rFonts w:ascii="Verdana" w:eastAsiaTheme="minorHAnsi" w:hAnsi="Verdana" w:cstheme="minorBidi"/>
                <w:sz w:val="18"/>
                <w:szCs w:val="18"/>
              </w:rPr>
            </w:pPr>
          </w:p>
        </w:tc>
      </w:tr>
      <w:tr w:rsidR="00A9209D" w:rsidRPr="00025B12" w:rsidTr="00A9209D">
        <w:trPr>
          <w:trHeight w:val="1319"/>
        </w:trPr>
        <w:tc>
          <w:tcPr>
            <w:tcW w:w="10682"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A9209D" w:rsidRPr="00025B12" w:rsidRDefault="00A9209D" w:rsidP="00A9209D">
            <w:pPr>
              <w:jc w:val="both"/>
              <w:rPr>
                <w:rFonts w:ascii="Verdana" w:hAnsi="Verdana"/>
                <w:sz w:val="18"/>
                <w:szCs w:val="18"/>
              </w:rPr>
            </w:pPr>
            <w:r w:rsidRPr="00025B12">
              <w:rPr>
                <w:rFonts w:ascii="Verdana" w:hAnsi="Verdana"/>
                <w:sz w:val="18"/>
                <w:szCs w:val="18"/>
              </w:rPr>
              <w:t>Akreditované kurzy představují specifickou oblast neformálního vzdělávání, která je téměř na hranici se vzděláním formálním. Počty jejich účastníků a absolventů vypovídají o posunech v kvalifikaci obyvatelstva.</w:t>
            </w:r>
          </w:p>
        </w:tc>
      </w:tr>
      <w:tr w:rsidR="00A9209D" w:rsidRPr="00025B12" w:rsidTr="00A9209D">
        <w:trPr>
          <w:trHeight w:val="992"/>
        </w:trPr>
        <w:tc>
          <w:tcPr>
            <w:tcW w:w="10682"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A9209D" w:rsidRPr="00025B12" w:rsidRDefault="00A9209D" w:rsidP="00A9209D">
            <w:pPr>
              <w:jc w:val="both"/>
              <w:rPr>
                <w:rFonts w:ascii="Verdana" w:hAnsi="Verdana"/>
                <w:sz w:val="18"/>
                <w:szCs w:val="18"/>
              </w:rPr>
            </w:pPr>
            <w:r w:rsidRPr="00025B12">
              <w:rPr>
                <w:rFonts w:ascii="Verdana" w:hAnsi="Verdana"/>
                <w:sz w:val="18"/>
                <w:szCs w:val="18"/>
              </w:rPr>
              <w:t xml:space="preserve">Kurzy jsou akreditovány na úrovni ČR, mezinárodní srovnání v případě těchto ukazatelů není uváděno. Použitá data vycházejí ze Sběru dat o akreditovaných a neakreditovaných kurzech dalšího vzdělávání, který realizuje ÚIV. Vzhledem k nízké návratnosti jsou celkové počty účastníků a absolventů násobeny návratností pro přibližný odhad skutečných počtů. </w:t>
            </w:r>
          </w:p>
        </w:tc>
      </w:tr>
      <w:tr w:rsidR="00A9209D" w:rsidRPr="00025B12" w:rsidTr="00A9209D">
        <w:trPr>
          <w:trHeight w:val="423"/>
        </w:trPr>
        <w:tc>
          <w:tcPr>
            <w:tcW w:w="10682"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A9209D" w:rsidRPr="00025B12" w:rsidRDefault="00A9209D" w:rsidP="00A9209D">
            <w:pPr>
              <w:jc w:val="both"/>
              <w:rPr>
                <w:rFonts w:ascii="Verdana" w:hAnsi="Verdana"/>
                <w:sz w:val="18"/>
                <w:szCs w:val="18"/>
              </w:rPr>
            </w:pPr>
            <w:r w:rsidRPr="00025B12">
              <w:rPr>
                <w:rFonts w:ascii="Verdana" w:hAnsi="Verdana"/>
                <w:sz w:val="18"/>
                <w:szCs w:val="18"/>
              </w:rPr>
              <w:t>Použitá data vycházejí ze Sběru dat o akreditovaných a neakreditovaných kurzech dalšího vzdělávání, který realizuje ÚIV a jejich dostupnost je vázána na publikované zprávy.</w:t>
            </w:r>
          </w:p>
        </w:tc>
      </w:tr>
      <w:tr w:rsidR="00A9209D" w:rsidRPr="00025B12" w:rsidTr="00A9209D">
        <w:trPr>
          <w:trHeight w:val="837"/>
        </w:trPr>
        <w:tc>
          <w:tcPr>
            <w:tcW w:w="10682" w:type="dxa"/>
            <w:gridSpan w:val="5"/>
          </w:tcPr>
          <w:p w:rsidR="00A9209D" w:rsidRPr="00025B12" w:rsidRDefault="00A9209D" w:rsidP="00A9209D">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A9209D" w:rsidRPr="00025B12" w:rsidRDefault="00A9209D" w:rsidP="0032034B">
            <w:pPr>
              <w:jc w:val="both"/>
              <w:rPr>
                <w:rFonts w:ascii="Verdana" w:hAnsi="Verdana"/>
                <w:sz w:val="18"/>
                <w:szCs w:val="18"/>
              </w:rPr>
            </w:pPr>
            <w:r w:rsidRPr="00025B12">
              <w:rPr>
                <w:rFonts w:ascii="Verdana" w:hAnsi="Verdana"/>
                <w:sz w:val="18"/>
                <w:szCs w:val="18"/>
              </w:rPr>
              <w:t>Jedná se o provizorní verzi indikátoru, ten by bylo vhodné rozšířit o statistiky dalších rezortů, než je MŠMT.</w:t>
            </w:r>
          </w:p>
        </w:tc>
      </w:tr>
    </w:tbl>
    <w:p w:rsidR="00A9209D" w:rsidRPr="00025B12" w:rsidRDefault="00A9209D" w:rsidP="00A9209D"/>
    <w:p w:rsidR="00C43089" w:rsidRPr="00025B12" w:rsidRDefault="00A9209D" w:rsidP="00A9209D">
      <w:pPr>
        <w:jc w:val="both"/>
        <w:rPr>
          <w:rFonts w:ascii="Verdana" w:hAnsi="Verdana"/>
          <w:sz w:val="20"/>
          <w:szCs w:val="20"/>
        </w:rPr>
      </w:pPr>
      <w:r w:rsidRPr="00025B12">
        <w:br w:type="page"/>
      </w:r>
    </w:p>
    <w:p w:rsidR="00C43089" w:rsidRPr="00025B12" w:rsidRDefault="00C43089" w:rsidP="000C6631">
      <w:pPr>
        <w:jc w:val="both"/>
        <w:outlineLvl w:val="0"/>
        <w:rPr>
          <w:rFonts w:ascii="Verdana" w:hAnsi="Verdana"/>
          <w:b/>
          <w:sz w:val="24"/>
          <w:szCs w:val="24"/>
        </w:rPr>
      </w:pPr>
      <w:r w:rsidRPr="00025B12">
        <w:rPr>
          <w:rFonts w:ascii="Verdana" w:hAnsi="Verdana"/>
          <w:b/>
          <w:sz w:val="24"/>
          <w:szCs w:val="24"/>
        </w:rPr>
        <w:t xml:space="preserve">IV.3 Uznávání výsledků </w:t>
      </w:r>
      <w:r w:rsidR="006A04E3" w:rsidRPr="00025B12">
        <w:rPr>
          <w:rFonts w:ascii="Verdana" w:hAnsi="Verdana"/>
          <w:b/>
          <w:sz w:val="24"/>
          <w:szCs w:val="24"/>
        </w:rPr>
        <w:t>dalšího vzdělávání</w:t>
      </w:r>
    </w:p>
    <w:p w:rsidR="00CB0654" w:rsidRPr="00025B12" w:rsidRDefault="00CB0654" w:rsidP="00CB0654">
      <w:pPr>
        <w:jc w:val="both"/>
        <w:rPr>
          <w:rFonts w:ascii="Verdana" w:hAnsi="Verdana"/>
          <w:sz w:val="20"/>
          <w:szCs w:val="20"/>
        </w:rPr>
      </w:pPr>
      <w:r w:rsidRPr="00025B12">
        <w:rPr>
          <w:rFonts w:ascii="Verdana" w:hAnsi="Verdana"/>
          <w:sz w:val="20"/>
          <w:szCs w:val="20"/>
        </w:rPr>
        <w:t xml:space="preserve">Indikátory IV.3.1-IV.3.3 slouží k zachycení rozsahu, v jakém dochází k uznávání výsledků neformálního vzdělávání a informálního učení.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58"/>
        <w:gridCol w:w="2303"/>
        <w:gridCol w:w="2126"/>
        <w:gridCol w:w="1749"/>
      </w:tblGrid>
      <w:tr w:rsidR="00F544DD" w:rsidRPr="00025B12" w:rsidTr="00D131AA">
        <w:trPr>
          <w:trHeight w:val="425"/>
        </w:trPr>
        <w:tc>
          <w:tcPr>
            <w:tcW w:w="1452" w:type="dxa"/>
            <w:tcBorders>
              <w:bottom w:val="single" w:sz="4" w:space="0" w:color="auto"/>
              <w:right w:val="single" w:sz="4" w:space="0" w:color="auto"/>
            </w:tcBorders>
            <w:shd w:val="clear" w:color="auto" w:fill="663399"/>
            <w:vAlign w:val="center"/>
          </w:tcPr>
          <w:p w:rsidR="00F544DD" w:rsidRPr="00025B12" w:rsidRDefault="00F544DD" w:rsidP="00D131AA">
            <w:pPr>
              <w:pStyle w:val="Kd"/>
              <w:rPr>
                <w:sz w:val="18"/>
                <w:szCs w:val="18"/>
              </w:rPr>
            </w:pPr>
            <w:r w:rsidRPr="00025B12">
              <w:rPr>
                <w:sz w:val="18"/>
                <w:szCs w:val="18"/>
              </w:rPr>
              <w:br w:type="page"/>
            </w:r>
            <w:r w:rsidRPr="00025B12">
              <w:rPr>
                <w:sz w:val="18"/>
                <w:szCs w:val="18"/>
              </w:rPr>
              <w:br w:type="page"/>
            </w:r>
            <w:bookmarkStart w:id="125" w:name="IV32"/>
            <w:r w:rsidRPr="00025B12">
              <w:rPr>
                <w:sz w:val="18"/>
                <w:szCs w:val="18"/>
              </w:rPr>
              <w:t>IV.3.</w:t>
            </w:r>
            <w:bookmarkEnd w:id="125"/>
            <w:r w:rsidRPr="00025B12">
              <w:rPr>
                <w:sz w:val="18"/>
                <w:szCs w:val="18"/>
              </w:rPr>
              <w:t>1</w:t>
            </w:r>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F544DD" w:rsidRPr="00025B12" w:rsidRDefault="00F544DD"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Počty udělených kvalifikací v přepočtu na zaměstnanost v dané profesi</w:t>
            </w:r>
          </w:p>
        </w:tc>
      </w:tr>
      <w:tr w:rsidR="00F544DD" w:rsidRPr="00025B12" w:rsidTr="00D131AA">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F544DD" w:rsidRPr="00025B12" w:rsidRDefault="00F544DD"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36" w:type="dxa"/>
            <w:gridSpan w:val="4"/>
            <w:vMerge/>
            <w:tcBorders>
              <w:left w:val="single" w:sz="4" w:space="0" w:color="auto"/>
              <w:bottom w:val="single" w:sz="4" w:space="0" w:color="auto"/>
              <w:right w:val="single" w:sz="4" w:space="0" w:color="auto"/>
            </w:tcBorders>
            <w:vAlign w:val="center"/>
          </w:tcPr>
          <w:p w:rsidR="00F544DD" w:rsidRPr="00025B12" w:rsidRDefault="00F544DD" w:rsidP="00D131AA">
            <w:pPr>
              <w:spacing w:after="0" w:line="240" w:lineRule="auto"/>
              <w:jc w:val="center"/>
              <w:rPr>
                <w:rFonts w:ascii="Verdana" w:eastAsiaTheme="minorHAnsi" w:hAnsi="Verdana" w:cstheme="minorBidi"/>
                <w:sz w:val="18"/>
                <w:szCs w:val="18"/>
              </w:rPr>
            </w:pPr>
          </w:p>
        </w:tc>
      </w:tr>
      <w:tr w:rsidR="00F544DD" w:rsidRPr="00025B12" w:rsidTr="00296FE3">
        <w:trPr>
          <w:trHeight w:val="360"/>
        </w:trPr>
        <w:tc>
          <w:tcPr>
            <w:tcW w:w="1452" w:type="dxa"/>
            <w:tcBorders>
              <w:top w:val="single" w:sz="4" w:space="0" w:color="auto"/>
              <w:bottom w:val="dotted" w:sz="4" w:space="0" w:color="auto"/>
              <w:right w:val="dotted" w:sz="4" w:space="0" w:color="auto"/>
            </w:tcBorders>
          </w:tcPr>
          <w:p w:rsidR="00F544DD" w:rsidRPr="00025B12" w:rsidRDefault="00F544DD" w:rsidP="00D131AA">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F544DD" w:rsidRPr="00025B12" w:rsidRDefault="00F544DD"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F544DD" w:rsidRPr="00025B12" w:rsidRDefault="00F544DD"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F544DD" w:rsidRPr="00025B12" w:rsidRDefault="00F544DD"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F544DD" w:rsidRPr="00025B12" w:rsidRDefault="00F544DD"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F544DD" w:rsidRPr="00025B12" w:rsidTr="00D131AA">
        <w:trPr>
          <w:trHeight w:val="360"/>
        </w:trPr>
        <w:tc>
          <w:tcPr>
            <w:tcW w:w="1452" w:type="dxa"/>
            <w:tcBorders>
              <w:top w:val="dotted" w:sz="4" w:space="0" w:color="auto"/>
              <w:bottom w:val="dotted" w:sz="4" w:space="0" w:color="auto"/>
              <w:right w:val="dotted" w:sz="4" w:space="0" w:color="auto"/>
            </w:tcBorders>
          </w:tcPr>
          <w:p w:rsidR="00F544DD" w:rsidRPr="00025B12" w:rsidRDefault="00F544DD"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F544DD" w:rsidRPr="00025B12" w:rsidRDefault="00F544D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303" w:type="dxa"/>
            <w:tcBorders>
              <w:top w:val="dotted" w:sz="4" w:space="0" w:color="auto"/>
              <w:left w:val="dotted" w:sz="4" w:space="0" w:color="auto"/>
              <w:bottom w:val="dotted" w:sz="4" w:space="0" w:color="auto"/>
              <w:right w:val="dotted" w:sz="4" w:space="0" w:color="auto"/>
            </w:tcBorders>
            <w:vAlign w:val="center"/>
          </w:tcPr>
          <w:p w:rsidR="00F544DD" w:rsidRPr="00025B12" w:rsidRDefault="00F544D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26" w:type="dxa"/>
            <w:tcBorders>
              <w:top w:val="dotted" w:sz="4" w:space="0" w:color="auto"/>
              <w:left w:val="dotted" w:sz="4" w:space="0" w:color="auto"/>
              <w:bottom w:val="dotted" w:sz="4" w:space="0" w:color="auto"/>
              <w:right w:val="dotted" w:sz="4" w:space="0" w:color="auto"/>
            </w:tcBorders>
            <w:vAlign w:val="center"/>
          </w:tcPr>
          <w:p w:rsidR="00F544DD" w:rsidRPr="00025B12" w:rsidRDefault="00F544D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49" w:type="dxa"/>
            <w:tcBorders>
              <w:top w:val="dotted" w:sz="4" w:space="0" w:color="auto"/>
              <w:left w:val="dotted" w:sz="4" w:space="0" w:color="auto"/>
              <w:bottom w:val="dotted" w:sz="4" w:space="0" w:color="auto"/>
            </w:tcBorders>
            <w:vAlign w:val="center"/>
          </w:tcPr>
          <w:p w:rsidR="00F544DD" w:rsidRPr="00025B12" w:rsidRDefault="00F544D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F544DD" w:rsidRPr="00025B12" w:rsidTr="00D131AA">
        <w:trPr>
          <w:trHeight w:val="360"/>
        </w:trPr>
        <w:tc>
          <w:tcPr>
            <w:tcW w:w="1452" w:type="dxa"/>
            <w:tcBorders>
              <w:top w:val="dotted" w:sz="4" w:space="0" w:color="auto"/>
              <w:bottom w:val="dotted" w:sz="4" w:space="0" w:color="auto"/>
              <w:right w:val="dotted" w:sz="4" w:space="0" w:color="auto"/>
            </w:tcBorders>
          </w:tcPr>
          <w:p w:rsidR="00F544DD" w:rsidRPr="00025B12" w:rsidRDefault="00F544DD"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F544DD" w:rsidRPr="00025B12" w:rsidRDefault="00665F1D" w:rsidP="00D131AA">
            <w:pPr>
              <w:spacing w:after="0" w:line="240" w:lineRule="auto"/>
              <w:jc w:val="center"/>
              <w:rPr>
                <w:rFonts w:ascii="Verdana" w:eastAsiaTheme="minorHAnsi" w:hAnsi="Verdana" w:cstheme="minorBidi"/>
                <w:sz w:val="18"/>
                <w:szCs w:val="18"/>
              </w:rPr>
            </w:pPr>
            <w:hyperlink w:anchor="ISKA" w:history="1">
              <w:r w:rsidR="00F544DD" w:rsidRPr="00025B12">
                <w:rPr>
                  <w:rStyle w:val="Hypertextovodkaz"/>
                  <w:rFonts w:ascii="Verdana" w:hAnsi="Verdana"/>
                  <w:sz w:val="18"/>
                  <w:szCs w:val="18"/>
                </w:rPr>
                <w:t>ISKA</w:t>
              </w:r>
            </w:hyperlink>
          </w:p>
        </w:tc>
        <w:tc>
          <w:tcPr>
            <w:tcW w:w="2303" w:type="dxa"/>
            <w:tcBorders>
              <w:top w:val="dotted" w:sz="4" w:space="0" w:color="auto"/>
              <w:left w:val="dotted" w:sz="4" w:space="0" w:color="auto"/>
              <w:bottom w:val="dotted" w:sz="4" w:space="0" w:color="auto"/>
              <w:right w:val="dotted" w:sz="4" w:space="0" w:color="auto"/>
            </w:tcBorders>
            <w:vAlign w:val="center"/>
          </w:tcPr>
          <w:p w:rsidR="00F544DD" w:rsidRPr="00025B12" w:rsidRDefault="00F544D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26" w:type="dxa"/>
            <w:tcBorders>
              <w:top w:val="dotted" w:sz="4" w:space="0" w:color="auto"/>
              <w:left w:val="dotted" w:sz="4" w:space="0" w:color="auto"/>
              <w:bottom w:val="dotted" w:sz="4" w:space="0" w:color="auto"/>
              <w:right w:val="dotted" w:sz="4" w:space="0" w:color="auto"/>
            </w:tcBorders>
            <w:vAlign w:val="center"/>
          </w:tcPr>
          <w:p w:rsidR="00F544DD" w:rsidRPr="00025B12" w:rsidRDefault="00F544D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bottom w:val="dotted" w:sz="4" w:space="0" w:color="auto"/>
            </w:tcBorders>
            <w:vAlign w:val="center"/>
          </w:tcPr>
          <w:p w:rsidR="00F544DD" w:rsidRPr="00025B12" w:rsidRDefault="00F544D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F544DD" w:rsidRPr="00025B12" w:rsidTr="00D131AA">
        <w:trPr>
          <w:trHeight w:val="360"/>
        </w:trPr>
        <w:tc>
          <w:tcPr>
            <w:tcW w:w="1452" w:type="dxa"/>
            <w:tcBorders>
              <w:top w:val="dotted" w:sz="4" w:space="0" w:color="auto"/>
              <w:right w:val="dotted" w:sz="4" w:space="0" w:color="auto"/>
            </w:tcBorders>
          </w:tcPr>
          <w:p w:rsidR="00F544DD" w:rsidRPr="00025B12" w:rsidRDefault="00F544DD"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F544DD" w:rsidRPr="00025B12" w:rsidRDefault="00665F1D" w:rsidP="00D131AA">
            <w:pPr>
              <w:spacing w:after="0" w:line="240" w:lineRule="auto"/>
              <w:jc w:val="center"/>
              <w:rPr>
                <w:rFonts w:ascii="Verdana" w:eastAsiaTheme="minorHAnsi" w:hAnsi="Verdana" w:cstheme="minorBidi"/>
                <w:sz w:val="18"/>
                <w:szCs w:val="18"/>
              </w:rPr>
            </w:pPr>
            <w:hyperlink w:anchor="ISKA" w:history="1">
              <w:r w:rsidR="00F544DD" w:rsidRPr="00025B12">
                <w:rPr>
                  <w:rStyle w:val="Hypertextovodkaz"/>
                  <w:rFonts w:ascii="Verdana" w:hAnsi="Verdana"/>
                  <w:sz w:val="18"/>
                  <w:szCs w:val="18"/>
                </w:rPr>
                <w:t>ISKA</w:t>
              </w:r>
            </w:hyperlink>
          </w:p>
        </w:tc>
        <w:tc>
          <w:tcPr>
            <w:tcW w:w="2303" w:type="dxa"/>
            <w:tcBorders>
              <w:top w:val="dotted" w:sz="4" w:space="0" w:color="auto"/>
              <w:left w:val="dotted" w:sz="4" w:space="0" w:color="auto"/>
              <w:right w:val="dotted" w:sz="4" w:space="0" w:color="auto"/>
            </w:tcBorders>
            <w:vAlign w:val="center"/>
          </w:tcPr>
          <w:p w:rsidR="00F544DD" w:rsidRPr="00025B12" w:rsidRDefault="00F544D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26" w:type="dxa"/>
            <w:tcBorders>
              <w:top w:val="dotted" w:sz="4" w:space="0" w:color="auto"/>
              <w:left w:val="dotted" w:sz="4" w:space="0" w:color="auto"/>
              <w:right w:val="dotted" w:sz="4" w:space="0" w:color="auto"/>
            </w:tcBorders>
            <w:vAlign w:val="center"/>
          </w:tcPr>
          <w:p w:rsidR="00F544DD" w:rsidRPr="00025B12" w:rsidRDefault="00F544D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tcBorders>
            <w:vAlign w:val="center"/>
          </w:tcPr>
          <w:p w:rsidR="00F544DD" w:rsidRPr="00025B12" w:rsidRDefault="00F544DD"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F544DD" w:rsidRPr="00025B12" w:rsidTr="00D131AA">
        <w:trPr>
          <w:trHeight w:val="274"/>
        </w:trPr>
        <w:tc>
          <w:tcPr>
            <w:tcW w:w="9288" w:type="dxa"/>
            <w:gridSpan w:val="5"/>
            <w:shd w:val="clear" w:color="auto" w:fill="663399"/>
          </w:tcPr>
          <w:p w:rsidR="00F544DD" w:rsidRPr="00025B12" w:rsidRDefault="00F544DD" w:rsidP="00D131AA">
            <w:pPr>
              <w:spacing w:after="0" w:line="240" w:lineRule="auto"/>
              <w:jc w:val="center"/>
              <w:rPr>
                <w:rFonts w:ascii="Verdana" w:eastAsiaTheme="minorHAnsi" w:hAnsi="Verdana" w:cstheme="minorBidi"/>
                <w:sz w:val="18"/>
                <w:szCs w:val="18"/>
              </w:rPr>
            </w:pPr>
          </w:p>
        </w:tc>
      </w:tr>
      <w:tr w:rsidR="00F544DD" w:rsidRPr="00025B12" w:rsidTr="00D131AA">
        <w:trPr>
          <w:trHeight w:val="1319"/>
        </w:trPr>
        <w:tc>
          <w:tcPr>
            <w:tcW w:w="9288" w:type="dxa"/>
            <w:gridSpan w:val="5"/>
          </w:tcPr>
          <w:p w:rsidR="00F544DD" w:rsidRPr="00025B12" w:rsidRDefault="00F544DD"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F544DD" w:rsidRPr="00025B12" w:rsidRDefault="00C471F7" w:rsidP="00C471F7">
            <w:pPr>
              <w:jc w:val="both"/>
              <w:rPr>
                <w:rFonts w:ascii="Verdana" w:hAnsi="Verdana"/>
                <w:sz w:val="18"/>
                <w:szCs w:val="18"/>
              </w:rPr>
            </w:pPr>
            <w:r w:rsidRPr="00025B12">
              <w:rPr>
                <w:rFonts w:ascii="Verdana" w:hAnsi="Verdana"/>
                <w:sz w:val="18"/>
                <w:szCs w:val="18"/>
              </w:rPr>
              <w:t>Indikátor vztahuje</w:t>
            </w:r>
            <w:r w:rsidR="00F544DD" w:rsidRPr="00025B12">
              <w:rPr>
                <w:rFonts w:ascii="Verdana" w:hAnsi="Verdana"/>
                <w:sz w:val="18"/>
                <w:szCs w:val="18"/>
              </w:rPr>
              <w:t xml:space="preserve"> počty udělených kvalifikací k zaměstnanosti v relevantních profesních skupinách. Bude nás tak informovat o míře zvyšování kvalifikace v jednotlivých profesních skupinách a nepřímo také o nedostatku pracovníků s odpovídající formální kvalifikací v této profesní skupině.</w:t>
            </w:r>
          </w:p>
        </w:tc>
      </w:tr>
      <w:tr w:rsidR="00F544DD" w:rsidRPr="00025B12" w:rsidTr="00D131AA">
        <w:trPr>
          <w:trHeight w:val="992"/>
        </w:trPr>
        <w:tc>
          <w:tcPr>
            <w:tcW w:w="9288" w:type="dxa"/>
            <w:gridSpan w:val="5"/>
          </w:tcPr>
          <w:p w:rsidR="00F544DD" w:rsidRPr="00025B12" w:rsidRDefault="00F544DD"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F544DD" w:rsidRPr="00025B12" w:rsidRDefault="00F544DD" w:rsidP="00D131AA">
            <w:pPr>
              <w:jc w:val="both"/>
              <w:rPr>
                <w:rFonts w:ascii="Verdana" w:hAnsi="Verdana"/>
                <w:sz w:val="18"/>
                <w:szCs w:val="18"/>
              </w:rPr>
            </w:pPr>
            <w:r w:rsidRPr="00025B12">
              <w:rPr>
                <w:rFonts w:ascii="Verdana" w:hAnsi="Verdana"/>
                <w:sz w:val="18"/>
                <w:szCs w:val="18"/>
              </w:rPr>
              <w:t>Indikátor bude vypočten jako počet kvalifikací udělených v daném roce na 1000 zaměstnaných v odpovídající profesní skupině.</w:t>
            </w:r>
          </w:p>
        </w:tc>
      </w:tr>
      <w:tr w:rsidR="00F544DD" w:rsidRPr="00025B12" w:rsidTr="00D131AA">
        <w:trPr>
          <w:trHeight w:val="423"/>
        </w:trPr>
        <w:tc>
          <w:tcPr>
            <w:tcW w:w="9288" w:type="dxa"/>
            <w:gridSpan w:val="5"/>
          </w:tcPr>
          <w:p w:rsidR="00F544DD" w:rsidRPr="00025B12" w:rsidRDefault="00F544DD"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F544DD" w:rsidRPr="00025B12" w:rsidRDefault="00F544DD" w:rsidP="00D131AA">
            <w:pPr>
              <w:jc w:val="both"/>
              <w:rPr>
                <w:rFonts w:ascii="Verdana" w:hAnsi="Verdana"/>
                <w:sz w:val="18"/>
                <w:szCs w:val="18"/>
              </w:rPr>
            </w:pPr>
            <w:r w:rsidRPr="00025B12">
              <w:rPr>
                <w:rFonts w:ascii="Verdana" w:hAnsi="Verdana"/>
                <w:sz w:val="18"/>
                <w:szCs w:val="18"/>
              </w:rPr>
              <w:t>Zdrojem dat bude v budoucnu, podobně jako u indikátoru IV.3.1 ISKA. Pro výpočet zaměstnanosti v jednotlivých profesních skupinách bude využíváno Výběrové šetření pracovních sil. V současné době neexistují data, ze kterých by bylo možno indikátor počítat.</w:t>
            </w:r>
          </w:p>
          <w:p w:rsidR="00F544DD" w:rsidRPr="00025B12" w:rsidRDefault="00F544DD" w:rsidP="00D131AA">
            <w:pPr>
              <w:jc w:val="both"/>
              <w:rPr>
                <w:rFonts w:ascii="Verdana" w:hAnsi="Verdana"/>
                <w:sz w:val="18"/>
                <w:szCs w:val="18"/>
              </w:rPr>
            </w:pPr>
            <w:r w:rsidRPr="00025B12">
              <w:rPr>
                <w:rFonts w:ascii="Verdana" w:hAnsi="Verdana"/>
                <w:sz w:val="18"/>
                <w:szCs w:val="18"/>
              </w:rPr>
              <w:t xml:space="preserve">Budoucím informačním zdrojem by měl být Informační systém pro kvalifikace a autorizace (ISKA), který by měl umožnit i získání dat v krajském členění. Indikátor je vyvinutý specificky pro české prostředí, mezinárodní srovnání zde nemá žádný význam. </w:t>
            </w:r>
          </w:p>
        </w:tc>
      </w:tr>
      <w:tr w:rsidR="00F544DD" w:rsidRPr="00025B12" w:rsidTr="00D131AA">
        <w:trPr>
          <w:trHeight w:val="837"/>
        </w:trPr>
        <w:tc>
          <w:tcPr>
            <w:tcW w:w="9288" w:type="dxa"/>
            <w:gridSpan w:val="5"/>
          </w:tcPr>
          <w:p w:rsidR="00F544DD" w:rsidRPr="00025B12" w:rsidRDefault="00F544DD" w:rsidP="00D131AA">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F544DD" w:rsidRPr="00025B12" w:rsidRDefault="00F544DD" w:rsidP="00D131AA">
            <w:pPr>
              <w:jc w:val="both"/>
              <w:rPr>
                <w:rFonts w:ascii="Verdana" w:hAnsi="Verdana"/>
                <w:sz w:val="18"/>
                <w:szCs w:val="18"/>
              </w:rPr>
            </w:pPr>
            <w:r w:rsidRPr="00025B12">
              <w:rPr>
                <w:rFonts w:ascii="Verdana" w:hAnsi="Verdana"/>
                <w:sz w:val="18"/>
                <w:szCs w:val="18"/>
              </w:rPr>
              <w:t>Prozatím je v datech obsažena provizorní verze indikátoru, která ukazuje kumulativní počty úspěšně složených zkoušek v členění podle autorizujících orgánů.</w:t>
            </w:r>
          </w:p>
        </w:tc>
      </w:tr>
    </w:tbl>
    <w:p w:rsidR="00F544DD" w:rsidRPr="00025B12" w:rsidRDefault="00F544DD" w:rsidP="00CB0654">
      <w:pPr>
        <w:jc w:val="both"/>
        <w:rPr>
          <w:rFonts w:ascii="Verdana" w:hAnsi="Verdana"/>
          <w:sz w:val="20"/>
          <w:szCs w:val="20"/>
        </w:rPr>
      </w:pPr>
    </w:p>
    <w:p w:rsidR="00F544DD" w:rsidRPr="00025B12" w:rsidRDefault="00F544DD" w:rsidP="00CB0654">
      <w:pPr>
        <w:jc w:val="both"/>
        <w:rPr>
          <w:rFonts w:ascii="Verdana" w:hAnsi="Verdana"/>
          <w:sz w:val="20"/>
          <w:szCs w:val="20"/>
        </w:rPr>
      </w:pPr>
      <w:r w:rsidRPr="00025B12">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58"/>
        <w:gridCol w:w="2303"/>
        <w:gridCol w:w="2126"/>
        <w:gridCol w:w="1749"/>
      </w:tblGrid>
      <w:tr w:rsidR="00CB0654" w:rsidRPr="00025B12" w:rsidTr="00A310B7">
        <w:trPr>
          <w:trHeight w:val="425"/>
        </w:trPr>
        <w:tc>
          <w:tcPr>
            <w:tcW w:w="1452" w:type="dxa"/>
            <w:tcBorders>
              <w:bottom w:val="single" w:sz="4" w:space="0" w:color="auto"/>
              <w:right w:val="single" w:sz="4" w:space="0" w:color="auto"/>
            </w:tcBorders>
            <w:shd w:val="clear" w:color="auto" w:fill="663399"/>
            <w:vAlign w:val="center"/>
          </w:tcPr>
          <w:p w:rsidR="00CB0654" w:rsidRPr="00025B12" w:rsidRDefault="00CB0654" w:rsidP="00A310B7">
            <w:pPr>
              <w:pStyle w:val="Kd"/>
              <w:rPr>
                <w:sz w:val="18"/>
                <w:szCs w:val="18"/>
              </w:rPr>
            </w:pPr>
            <w:r w:rsidRPr="00025B12">
              <w:rPr>
                <w:sz w:val="18"/>
                <w:szCs w:val="18"/>
              </w:rPr>
              <w:br w:type="page"/>
            </w:r>
            <w:r w:rsidRPr="00025B12">
              <w:rPr>
                <w:sz w:val="18"/>
                <w:szCs w:val="18"/>
              </w:rPr>
              <w:br w:type="page"/>
            </w:r>
            <w:bookmarkStart w:id="126" w:name="IV31"/>
            <w:r w:rsidR="00A310B7" w:rsidRPr="00025B12">
              <w:rPr>
                <w:sz w:val="18"/>
                <w:szCs w:val="18"/>
              </w:rPr>
              <w:t>IV.3</w:t>
            </w:r>
            <w:r w:rsidRPr="00025B12">
              <w:rPr>
                <w:sz w:val="18"/>
                <w:szCs w:val="18"/>
              </w:rPr>
              <w:t>.</w:t>
            </w:r>
            <w:r w:rsidR="00741F81" w:rsidRPr="00025B12">
              <w:rPr>
                <w:sz w:val="18"/>
                <w:szCs w:val="18"/>
              </w:rPr>
              <w:t>d</w:t>
            </w:r>
            <w:r w:rsidR="00A310B7" w:rsidRPr="00025B12">
              <w:rPr>
                <w:sz w:val="18"/>
                <w:szCs w:val="18"/>
              </w:rPr>
              <w:t>1</w:t>
            </w:r>
            <w:bookmarkEnd w:id="126"/>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CB0654" w:rsidRPr="00025B12" w:rsidRDefault="00CB0654" w:rsidP="00B90FDC">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Počty kvalifikací udělených v rámci uznávání výsledků dalšího vzdělávání za poslední rok</w:t>
            </w:r>
          </w:p>
        </w:tc>
      </w:tr>
      <w:tr w:rsidR="00CB0654" w:rsidRPr="00025B12" w:rsidTr="00A310B7">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CB0654" w:rsidRPr="00025B12" w:rsidRDefault="00120F44" w:rsidP="00B90FDC">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36" w:type="dxa"/>
            <w:gridSpan w:val="4"/>
            <w:vMerge/>
            <w:tcBorders>
              <w:left w:val="single" w:sz="4" w:space="0" w:color="auto"/>
              <w:bottom w:val="single" w:sz="4" w:space="0" w:color="auto"/>
              <w:right w:val="single" w:sz="4" w:space="0" w:color="auto"/>
            </w:tcBorders>
            <w:vAlign w:val="center"/>
          </w:tcPr>
          <w:p w:rsidR="00CB0654" w:rsidRPr="00025B12" w:rsidRDefault="00CB0654" w:rsidP="00B90FDC">
            <w:pPr>
              <w:spacing w:after="0" w:line="240" w:lineRule="auto"/>
              <w:jc w:val="center"/>
              <w:rPr>
                <w:rFonts w:ascii="Verdana" w:eastAsiaTheme="minorHAnsi" w:hAnsi="Verdana" w:cstheme="minorBidi"/>
                <w:sz w:val="18"/>
                <w:szCs w:val="18"/>
              </w:rPr>
            </w:pPr>
          </w:p>
        </w:tc>
      </w:tr>
      <w:tr w:rsidR="00CB0654" w:rsidRPr="00025B12" w:rsidTr="00296FE3">
        <w:trPr>
          <w:trHeight w:val="360"/>
        </w:trPr>
        <w:tc>
          <w:tcPr>
            <w:tcW w:w="1452" w:type="dxa"/>
            <w:tcBorders>
              <w:top w:val="single" w:sz="4" w:space="0" w:color="auto"/>
              <w:bottom w:val="dotted" w:sz="4" w:space="0" w:color="auto"/>
              <w:right w:val="dotted" w:sz="4" w:space="0" w:color="auto"/>
            </w:tcBorders>
          </w:tcPr>
          <w:p w:rsidR="00CB0654" w:rsidRPr="00025B12" w:rsidRDefault="00CB0654" w:rsidP="00B90FDC">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CB0654" w:rsidRPr="00025B12" w:rsidRDefault="00CB0654" w:rsidP="00B90FD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CB0654" w:rsidRPr="00025B12" w:rsidRDefault="00CB0654" w:rsidP="00B90FD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CB0654" w:rsidRPr="00025B12" w:rsidRDefault="00CB0654" w:rsidP="00B90FD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CB0654" w:rsidRPr="00025B12" w:rsidRDefault="00CB0654"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CB0654" w:rsidRPr="00025B12" w:rsidTr="00A310B7">
        <w:trPr>
          <w:trHeight w:val="360"/>
        </w:trPr>
        <w:tc>
          <w:tcPr>
            <w:tcW w:w="1452" w:type="dxa"/>
            <w:tcBorders>
              <w:top w:val="dotted" w:sz="4" w:space="0" w:color="auto"/>
              <w:bottom w:val="dotted" w:sz="4" w:space="0" w:color="auto"/>
              <w:right w:val="dotted" w:sz="4" w:space="0" w:color="auto"/>
            </w:tcBorders>
          </w:tcPr>
          <w:p w:rsidR="00CB0654" w:rsidRPr="00025B12" w:rsidRDefault="00CB0654" w:rsidP="00B90FD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CB0654" w:rsidRPr="00025B12" w:rsidRDefault="00CB0654"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303" w:type="dxa"/>
            <w:tcBorders>
              <w:top w:val="dotted" w:sz="4" w:space="0" w:color="auto"/>
              <w:left w:val="dotted" w:sz="4" w:space="0" w:color="auto"/>
              <w:bottom w:val="dotted" w:sz="4" w:space="0" w:color="auto"/>
              <w:right w:val="dotted" w:sz="4" w:space="0" w:color="auto"/>
            </w:tcBorders>
            <w:vAlign w:val="center"/>
          </w:tcPr>
          <w:p w:rsidR="00CB0654" w:rsidRPr="00025B12" w:rsidRDefault="00CB0654"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26" w:type="dxa"/>
            <w:tcBorders>
              <w:top w:val="dotted" w:sz="4" w:space="0" w:color="auto"/>
              <w:left w:val="dotted" w:sz="4" w:space="0" w:color="auto"/>
              <w:bottom w:val="dotted" w:sz="4" w:space="0" w:color="auto"/>
              <w:right w:val="dotted" w:sz="4" w:space="0" w:color="auto"/>
            </w:tcBorders>
            <w:vAlign w:val="center"/>
          </w:tcPr>
          <w:p w:rsidR="00CB0654" w:rsidRPr="00025B12" w:rsidRDefault="00CB0654"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49" w:type="dxa"/>
            <w:tcBorders>
              <w:top w:val="dotted" w:sz="4" w:space="0" w:color="auto"/>
              <w:left w:val="dotted" w:sz="4" w:space="0" w:color="auto"/>
              <w:bottom w:val="dotted" w:sz="4" w:space="0" w:color="auto"/>
            </w:tcBorders>
            <w:vAlign w:val="center"/>
          </w:tcPr>
          <w:p w:rsidR="00CB0654" w:rsidRPr="00025B12" w:rsidRDefault="00CB0654"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A310B7" w:rsidRPr="00025B12" w:rsidTr="00A310B7">
        <w:trPr>
          <w:trHeight w:val="360"/>
        </w:trPr>
        <w:tc>
          <w:tcPr>
            <w:tcW w:w="1452" w:type="dxa"/>
            <w:tcBorders>
              <w:top w:val="dotted" w:sz="4" w:space="0" w:color="auto"/>
              <w:bottom w:val="dotted" w:sz="4" w:space="0" w:color="auto"/>
              <w:right w:val="dotted" w:sz="4" w:space="0" w:color="auto"/>
            </w:tcBorders>
          </w:tcPr>
          <w:p w:rsidR="00A310B7" w:rsidRPr="00025B12" w:rsidRDefault="00A310B7" w:rsidP="00B90FD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A310B7" w:rsidRPr="00025B12" w:rsidRDefault="00665F1D" w:rsidP="00B90FDC">
            <w:pPr>
              <w:spacing w:after="0" w:line="240" w:lineRule="auto"/>
              <w:jc w:val="center"/>
              <w:rPr>
                <w:rFonts w:ascii="Verdana" w:eastAsiaTheme="minorHAnsi" w:hAnsi="Verdana" w:cstheme="minorBidi"/>
                <w:sz w:val="18"/>
                <w:szCs w:val="18"/>
              </w:rPr>
            </w:pPr>
            <w:hyperlink w:anchor="ISKA" w:history="1">
              <w:r w:rsidR="00A310B7" w:rsidRPr="00025B12">
                <w:rPr>
                  <w:rStyle w:val="Hypertextovodkaz"/>
                  <w:rFonts w:ascii="Verdana" w:hAnsi="Verdana"/>
                  <w:sz w:val="18"/>
                  <w:szCs w:val="18"/>
                </w:rPr>
                <w:t>ISKA</w:t>
              </w:r>
            </w:hyperlink>
          </w:p>
        </w:tc>
        <w:tc>
          <w:tcPr>
            <w:tcW w:w="2303" w:type="dxa"/>
            <w:tcBorders>
              <w:top w:val="dotted" w:sz="4" w:space="0" w:color="auto"/>
              <w:left w:val="dotted" w:sz="4" w:space="0" w:color="auto"/>
              <w:bottom w:val="dotted" w:sz="4" w:space="0" w:color="auto"/>
              <w:right w:val="dotted" w:sz="4" w:space="0" w:color="auto"/>
            </w:tcBorders>
            <w:vAlign w:val="center"/>
          </w:tcPr>
          <w:p w:rsidR="00A310B7" w:rsidRPr="00025B12" w:rsidRDefault="00A310B7"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26" w:type="dxa"/>
            <w:tcBorders>
              <w:top w:val="dotted" w:sz="4" w:space="0" w:color="auto"/>
              <w:left w:val="dotted" w:sz="4" w:space="0" w:color="auto"/>
              <w:bottom w:val="dotted" w:sz="4" w:space="0" w:color="auto"/>
              <w:right w:val="dotted" w:sz="4" w:space="0" w:color="auto"/>
            </w:tcBorders>
            <w:vAlign w:val="center"/>
          </w:tcPr>
          <w:p w:rsidR="00A310B7" w:rsidRPr="00025B12" w:rsidRDefault="00A310B7"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bottom w:val="dotted" w:sz="4" w:space="0" w:color="auto"/>
            </w:tcBorders>
            <w:vAlign w:val="center"/>
          </w:tcPr>
          <w:p w:rsidR="00A310B7" w:rsidRPr="00025B12" w:rsidRDefault="00A310B7"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6B52E8" w:rsidRPr="00025B12" w:rsidTr="00A310B7">
        <w:trPr>
          <w:trHeight w:val="360"/>
        </w:trPr>
        <w:tc>
          <w:tcPr>
            <w:tcW w:w="1452" w:type="dxa"/>
            <w:tcBorders>
              <w:top w:val="dotted" w:sz="4" w:space="0" w:color="auto"/>
              <w:right w:val="dotted" w:sz="4" w:space="0" w:color="auto"/>
            </w:tcBorders>
          </w:tcPr>
          <w:p w:rsidR="006B52E8" w:rsidRPr="00025B12" w:rsidRDefault="006B52E8" w:rsidP="00B90FD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6B52E8" w:rsidRPr="00025B12" w:rsidRDefault="00665F1D" w:rsidP="00DD020F">
            <w:pPr>
              <w:spacing w:after="0" w:line="240" w:lineRule="auto"/>
              <w:jc w:val="center"/>
              <w:rPr>
                <w:rFonts w:ascii="Verdana" w:eastAsiaTheme="minorHAnsi" w:hAnsi="Verdana" w:cstheme="minorBidi"/>
                <w:sz w:val="18"/>
                <w:szCs w:val="18"/>
              </w:rPr>
            </w:pPr>
            <w:hyperlink w:anchor="ISKA" w:history="1">
              <w:r w:rsidR="006B52E8" w:rsidRPr="00025B12">
                <w:rPr>
                  <w:rStyle w:val="Hypertextovodkaz"/>
                  <w:rFonts w:ascii="Verdana" w:hAnsi="Verdana"/>
                  <w:sz w:val="18"/>
                  <w:szCs w:val="18"/>
                </w:rPr>
                <w:t>ISKA</w:t>
              </w:r>
            </w:hyperlink>
          </w:p>
        </w:tc>
        <w:tc>
          <w:tcPr>
            <w:tcW w:w="2303" w:type="dxa"/>
            <w:tcBorders>
              <w:top w:val="dotted" w:sz="4" w:space="0" w:color="auto"/>
              <w:left w:val="dotted" w:sz="4" w:space="0" w:color="auto"/>
              <w:right w:val="dotted" w:sz="4" w:space="0" w:color="auto"/>
            </w:tcBorders>
            <w:vAlign w:val="center"/>
          </w:tcPr>
          <w:p w:rsidR="006B52E8" w:rsidRPr="00025B12" w:rsidRDefault="006B52E8"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26" w:type="dxa"/>
            <w:tcBorders>
              <w:top w:val="dotted" w:sz="4" w:space="0" w:color="auto"/>
              <w:left w:val="dotted" w:sz="4" w:space="0" w:color="auto"/>
              <w:right w:val="dotted" w:sz="4" w:space="0" w:color="auto"/>
            </w:tcBorders>
            <w:vAlign w:val="center"/>
          </w:tcPr>
          <w:p w:rsidR="006B52E8" w:rsidRPr="00025B12" w:rsidRDefault="006B52E8"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tcBorders>
            <w:vAlign w:val="center"/>
          </w:tcPr>
          <w:p w:rsidR="006B52E8" w:rsidRPr="00025B12" w:rsidRDefault="006B52E8" w:rsidP="00B90FD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CB0654" w:rsidRPr="00025B12" w:rsidTr="00A310B7">
        <w:trPr>
          <w:trHeight w:val="274"/>
        </w:trPr>
        <w:tc>
          <w:tcPr>
            <w:tcW w:w="9288" w:type="dxa"/>
            <w:gridSpan w:val="5"/>
            <w:shd w:val="clear" w:color="auto" w:fill="663399"/>
          </w:tcPr>
          <w:p w:rsidR="00CB0654" w:rsidRPr="00025B12" w:rsidRDefault="00CB0654" w:rsidP="00B90FDC">
            <w:pPr>
              <w:spacing w:after="0" w:line="240" w:lineRule="auto"/>
              <w:jc w:val="center"/>
              <w:rPr>
                <w:rFonts w:ascii="Verdana" w:eastAsiaTheme="minorHAnsi" w:hAnsi="Verdana" w:cstheme="minorBidi"/>
                <w:sz w:val="18"/>
                <w:szCs w:val="18"/>
              </w:rPr>
            </w:pPr>
          </w:p>
        </w:tc>
      </w:tr>
      <w:tr w:rsidR="00CB0654" w:rsidRPr="00025B12" w:rsidTr="00A310B7">
        <w:trPr>
          <w:trHeight w:val="1319"/>
        </w:trPr>
        <w:tc>
          <w:tcPr>
            <w:tcW w:w="9288" w:type="dxa"/>
            <w:gridSpan w:val="5"/>
          </w:tcPr>
          <w:p w:rsidR="00CB0654" w:rsidRPr="00025B12" w:rsidRDefault="00CB0654" w:rsidP="00B90FD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CB0654" w:rsidRPr="00025B12" w:rsidRDefault="00CB0654" w:rsidP="00497053">
            <w:pPr>
              <w:jc w:val="both"/>
              <w:rPr>
                <w:rFonts w:ascii="Verdana" w:hAnsi="Verdana"/>
                <w:sz w:val="18"/>
                <w:szCs w:val="18"/>
              </w:rPr>
            </w:pPr>
            <w:r w:rsidRPr="00025B12">
              <w:rPr>
                <w:rFonts w:ascii="Verdana" w:hAnsi="Verdana"/>
                <w:sz w:val="18"/>
                <w:szCs w:val="18"/>
              </w:rPr>
              <w:t>Indikátor IV.3.</w:t>
            </w:r>
            <w:r w:rsidR="00497053" w:rsidRPr="00025B12">
              <w:rPr>
                <w:rFonts w:ascii="Verdana" w:hAnsi="Verdana"/>
                <w:sz w:val="18"/>
                <w:szCs w:val="18"/>
              </w:rPr>
              <w:t>d</w:t>
            </w:r>
            <w:r w:rsidRPr="00025B12">
              <w:rPr>
                <w:rFonts w:ascii="Verdana" w:hAnsi="Verdana"/>
                <w:sz w:val="18"/>
                <w:szCs w:val="18"/>
              </w:rPr>
              <w:t xml:space="preserve">1 </w:t>
            </w:r>
            <w:r w:rsidR="00497053" w:rsidRPr="00025B12">
              <w:rPr>
                <w:rFonts w:ascii="Verdana" w:hAnsi="Verdana"/>
                <w:sz w:val="18"/>
                <w:szCs w:val="18"/>
              </w:rPr>
              <w:t>ukazuje</w:t>
            </w:r>
            <w:r w:rsidRPr="00025B12">
              <w:rPr>
                <w:rFonts w:ascii="Verdana" w:hAnsi="Verdana"/>
                <w:sz w:val="18"/>
                <w:szCs w:val="18"/>
              </w:rPr>
              <w:t xml:space="preserve"> počty udělených úplných a dílčích kvali</w:t>
            </w:r>
            <w:r w:rsidR="00497053" w:rsidRPr="00025B12">
              <w:rPr>
                <w:rFonts w:ascii="Verdana" w:hAnsi="Verdana"/>
                <w:sz w:val="18"/>
                <w:szCs w:val="18"/>
              </w:rPr>
              <w:t>fikací v daném roce a informuje</w:t>
            </w:r>
            <w:r w:rsidRPr="00025B12">
              <w:rPr>
                <w:rFonts w:ascii="Verdana" w:hAnsi="Verdana"/>
                <w:sz w:val="18"/>
                <w:szCs w:val="18"/>
              </w:rPr>
              <w:t xml:space="preserve"> tak o celkovém zvyšování kvalifikace populace prostřednictvím uznávání výsledků celoživotního učení</w:t>
            </w:r>
            <w:r w:rsidR="00C471F7" w:rsidRPr="00025B12">
              <w:rPr>
                <w:rFonts w:ascii="Verdana" w:hAnsi="Verdana"/>
                <w:sz w:val="18"/>
                <w:szCs w:val="18"/>
              </w:rPr>
              <w:t xml:space="preserve">. Oproti indikátoru IV.3.1 </w:t>
            </w:r>
            <w:r w:rsidR="00497053" w:rsidRPr="00025B12">
              <w:rPr>
                <w:rFonts w:ascii="Verdana" w:hAnsi="Verdana"/>
                <w:sz w:val="18"/>
                <w:szCs w:val="18"/>
              </w:rPr>
              <w:t>neobsahuje vztah k profesním skupinám, a tak ukazuje na zájem obyvatelstva o získávání kvalifikací, ale bez ohledu na situaci na trhu práce.</w:t>
            </w:r>
          </w:p>
        </w:tc>
      </w:tr>
      <w:tr w:rsidR="00CB0654" w:rsidRPr="00025B12" w:rsidTr="00A310B7">
        <w:trPr>
          <w:trHeight w:val="992"/>
        </w:trPr>
        <w:tc>
          <w:tcPr>
            <w:tcW w:w="9288" w:type="dxa"/>
            <w:gridSpan w:val="5"/>
          </w:tcPr>
          <w:p w:rsidR="00CB0654" w:rsidRPr="00025B12" w:rsidRDefault="00CB0654" w:rsidP="00B90FD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CB0654" w:rsidRPr="00025B12" w:rsidRDefault="00CB0654" w:rsidP="00B90FDC">
            <w:pPr>
              <w:jc w:val="both"/>
              <w:rPr>
                <w:rFonts w:ascii="Verdana" w:hAnsi="Verdana"/>
                <w:sz w:val="18"/>
                <w:szCs w:val="18"/>
              </w:rPr>
            </w:pPr>
            <w:r w:rsidRPr="00025B12">
              <w:rPr>
                <w:rFonts w:ascii="Verdana" w:hAnsi="Verdana"/>
                <w:sz w:val="18"/>
                <w:szCs w:val="18"/>
              </w:rPr>
              <w:t>Indikátor tvoří absolutní počet nově udělených dílčích a úplných kvalifikací za poslední rok v členění podle skupin kvalifikací.</w:t>
            </w:r>
          </w:p>
        </w:tc>
      </w:tr>
      <w:tr w:rsidR="00CB0654" w:rsidRPr="00025B12" w:rsidTr="00A310B7">
        <w:trPr>
          <w:trHeight w:val="423"/>
        </w:trPr>
        <w:tc>
          <w:tcPr>
            <w:tcW w:w="9288" w:type="dxa"/>
            <w:gridSpan w:val="5"/>
          </w:tcPr>
          <w:p w:rsidR="00CB0654" w:rsidRPr="00025B12" w:rsidRDefault="00CB0654" w:rsidP="00B90FD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CB0654" w:rsidRPr="00025B12" w:rsidRDefault="00CB0654" w:rsidP="00CB0654">
            <w:pPr>
              <w:jc w:val="both"/>
              <w:rPr>
                <w:rFonts w:ascii="Verdana" w:hAnsi="Verdana"/>
                <w:sz w:val="18"/>
                <w:szCs w:val="18"/>
              </w:rPr>
            </w:pPr>
            <w:r w:rsidRPr="00025B12">
              <w:rPr>
                <w:rFonts w:ascii="Verdana" w:hAnsi="Verdana"/>
                <w:sz w:val="18"/>
                <w:szCs w:val="18"/>
              </w:rPr>
              <w:t xml:space="preserve">Budoucím informačním zdrojem by měl být Informační systém pro kvalifikace a autorizace (ISKA), který by měl umožnit i získání dat v krajském členění. Indikátor je vyvinutý specificky pro české prostředí, mezinárodní srovnání zde nemá žádný význam. </w:t>
            </w:r>
          </w:p>
        </w:tc>
      </w:tr>
      <w:tr w:rsidR="00CB0654" w:rsidRPr="00025B12" w:rsidTr="00A310B7">
        <w:trPr>
          <w:trHeight w:val="837"/>
        </w:trPr>
        <w:tc>
          <w:tcPr>
            <w:tcW w:w="9288" w:type="dxa"/>
            <w:gridSpan w:val="5"/>
          </w:tcPr>
          <w:p w:rsidR="00CB0654" w:rsidRPr="00025B12" w:rsidRDefault="00CB0654" w:rsidP="00B90FD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CB0654" w:rsidRPr="00025B12" w:rsidRDefault="00CB0654" w:rsidP="00B90FDC">
            <w:pPr>
              <w:jc w:val="both"/>
              <w:rPr>
                <w:rFonts w:ascii="Verdana" w:hAnsi="Verdana"/>
                <w:sz w:val="18"/>
                <w:szCs w:val="18"/>
              </w:rPr>
            </w:pPr>
            <w:r w:rsidRPr="00025B12">
              <w:rPr>
                <w:rFonts w:ascii="Verdana" w:hAnsi="Verdana"/>
                <w:sz w:val="18"/>
                <w:szCs w:val="18"/>
              </w:rPr>
              <w:t>Prozatím je v datech obsažena provizorní verze indikátoru, která ukazuje kumulativní počty úspěšně složených zkoušek v členění podle autorizujících orgánů.</w:t>
            </w:r>
          </w:p>
        </w:tc>
      </w:tr>
    </w:tbl>
    <w:p w:rsidR="00CB0654" w:rsidRPr="00025B12" w:rsidRDefault="00CB0654" w:rsidP="00C43089">
      <w:pPr>
        <w:jc w:val="both"/>
        <w:rPr>
          <w:rFonts w:ascii="Verdana" w:hAnsi="Verdana"/>
          <w:sz w:val="20"/>
          <w:szCs w:val="20"/>
        </w:rPr>
      </w:pPr>
    </w:p>
    <w:p w:rsidR="00F52FF7" w:rsidRPr="00025B12" w:rsidRDefault="00F52FF7" w:rsidP="00C43089">
      <w:pPr>
        <w:jc w:val="both"/>
        <w:rPr>
          <w:rFonts w:ascii="Verdana" w:hAnsi="Verdana"/>
          <w:sz w:val="20"/>
          <w:szCs w:val="20"/>
        </w:rPr>
      </w:pPr>
      <w:r w:rsidRPr="00025B12">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58"/>
        <w:gridCol w:w="2303"/>
        <w:gridCol w:w="2126"/>
        <w:gridCol w:w="1749"/>
      </w:tblGrid>
      <w:tr w:rsidR="0054118A" w:rsidRPr="00025B12" w:rsidTr="00DD020F">
        <w:trPr>
          <w:trHeight w:val="425"/>
        </w:trPr>
        <w:tc>
          <w:tcPr>
            <w:tcW w:w="1452" w:type="dxa"/>
            <w:tcBorders>
              <w:bottom w:val="single" w:sz="4" w:space="0" w:color="auto"/>
              <w:right w:val="single" w:sz="4" w:space="0" w:color="auto"/>
            </w:tcBorders>
            <w:shd w:val="clear" w:color="auto" w:fill="663399"/>
            <w:vAlign w:val="center"/>
          </w:tcPr>
          <w:p w:rsidR="0054118A" w:rsidRPr="00025B12" w:rsidRDefault="0054118A" w:rsidP="0054118A">
            <w:pPr>
              <w:pStyle w:val="Kd"/>
              <w:rPr>
                <w:sz w:val="18"/>
                <w:szCs w:val="18"/>
              </w:rPr>
            </w:pPr>
            <w:r w:rsidRPr="00025B12">
              <w:rPr>
                <w:sz w:val="18"/>
                <w:szCs w:val="18"/>
              </w:rPr>
              <w:br w:type="page"/>
            </w:r>
            <w:r w:rsidRPr="00025B12">
              <w:rPr>
                <w:sz w:val="18"/>
                <w:szCs w:val="18"/>
              </w:rPr>
              <w:br w:type="page"/>
            </w:r>
            <w:bookmarkStart w:id="127" w:name="IV33"/>
            <w:r w:rsidRPr="00025B12">
              <w:rPr>
                <w:sz w:val="18"/>
                <w:szCs w:val="18"/>
              </w:rPr>
              <w:t>IV.3.</w:t>
            </w:r>
            <w:bookmarkEnd w:id="127"/>
            <w:r w:rsidR="00741F81" w:rsidRPr="00025B12">
              <w:rPr>
                <w:sz w:val="18"/>
                <w:szCs w:val="18"/>
              </w:rPr>
              <w:t>d2</w:t>
            </w:r>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54118A" w:rsidRPr="00025B12" w:rsidRDefault="0054118A" w:rsidP="00DD020F">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Počty složených dílčích maturitních zkoušek</w:t>
            </w:r>
          </w:p>
        </w:tc>
      </w:tr>
      <w:tr w:rsidR="0054118A" w:rsidRPr="00025B12" w:rsidTr="00DD020F">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54118A" w:rsidRPr="00025B12" w:rsidRDefault="00120F44" w:rsidP="00DD020F">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36" w:type="dxa"/>
            <w:gridSpan w:val="4"/>
            <w:vMerge/>
            <w:tcBorders>
              <w:left w:val="single" w:sz="4" w:space="0" w:color="auto"/>
              <w:bottom w:val="single" w:sz="4" w:space="0" w:color="auto"/>
              <w:right w:val="single" w:sz="4" w:space="0" w:color="auto"/>
            </w:tcBorders>
            <w:vAlign w:val="center"/>
          </w:tcPr>
          <w:p w:rsidR="0054118A" w:rsidRPr="00025B12" w:rsidRDefault="0054118A" w:rsidP="00DD020F">
            <w:pPr>
              <w:spacing w:after="0" w:line="240" w:lineRule="auto"/>
              <w:jc w:val="center"/>
              <w:rPr>
                <w:rFonts w:ascii="Verdana" w:eastAsiaTheme="minorHAnsi" w:hAnsi="Verdana" w:cstheme="minorBidi"/>
                <w:sz w:val="18"/>
                <w:szCs w:val="18"/>
              </w:rPr>
            </w:pPr>
          </w:p>
        </w:tc>
      </w:tr>
      <w:tr w:rsidR="0054118A" w:rsidRPr="00025B12" w:rsidTr="00296FE3">
        <w:trPr>
          <w:trHeight w:val="360"/>
        </w:trPr>
        <w:tc>
          <w:tcPr>
            <w:tcW w:w="1452" w:type="dxa"/>
            <w:tcBorders>
              <w:top w:val="single" w:sz="4" w:space="0" w:color="auto"/>
              <w:bottom w:val="dotted" w:sz="4" w:space="0" w:color="auto"/>
              <w:right w:val="dotted" w:sz="4" w:space="0" w:color="auto"/>
            </w:tcBorders>
          </w:tcPr>
          <w:p w:rsidR="0054118A" w:rsidRPr="00025B12" w:rsidRDefault="0054118A" w:rsidP="00DD020F">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54118A" w:rsidRPr="00025B12" w:rsidRDefault="0054118A"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54118A" w:rsidRPr="00025B12" w:rsidTr="00DD020F">
        <w:trPr>
          <w:trHeight w:val="360"/>
        </w:trPr>
        <w:tc>
          <w:tcPr>
            <w:tcW w:w="1452" w:type="dxa"/>
            <w:tcBorders>
              <w:top w:val="dotted" w:sz="4" w:space="0" w:color="auto"/>
              <w:bottom w:val="dotted" w:sz="4" w:space="0" w:color="auto"/>
              <w:right w:val="dotted" w:sz="4" w:space="0" w:color="auto"/>
            </w:tcBorders>
          </w:tcPr>
          <w:p w:rsidR="0054118A" w:rsidRPr="00025B12" w:rsidRDefault="0054118A" w:rsidP="00DD020F">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303" w:type="dxa"/>
            <w:tcBorders>
              <w:top w:val="dotted" w:sz="4" w:space="0" w:color="auto"/>
              <w:left w:val="dotted" w:sz="4" w:space="0" w:color="auto"/>
              <w:bottom w:val="dotted" w:sz="4" w:space="0" w:color="auto"/>
              <w:right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126" w:type="dxa"/>
            <w:tcBorders>
              <w:top w:val="dotted" w:sz="4" w:space="0" w:color="auto"/>
              <w:left w:val="dotted" w:sz="4" w:space="0" w:color="auto"/>
              <w:bottom w:val="dotted" w:sz="4" w:space="0" w:color="auto"/>
              <w:right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749" w:type="dxa"/>
            <w:tcBorders>
              <w:top w:val="dotted" w:sz="4" w:space="0" w:color="auto"/>
              <w:left w:val="dotted" w:sz="4" w:space="0" w:color="auto"/>
              <w:bottom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54118A" w:rsidRPr="00025B12" w:rsidTr="00DD020F">
        <w:trPr>
          <w:trHeight w:val="360"/>
        </w:trPr>
        <w:tc>
          <w:tcPr>
            <w:tcW w:w="1452" w:type="dxa"/>
            <w:tcBorders>
              <w:top w:val="dotted" w:sz="4" w:space="0" w:color="auto"/>
              <w:bottom w:val="dotted" w:sz="4" w:space="0" w:color="auto"/>
              <w:right w:val="dotted" w:sz="4" w:space="0" w:color="auto"/>
            </w:tcBorders>
          </w:tcPr>
          <w:p w:rsidR="0054118A" w:rsidRPr="00025B12" w:rsidRDefault="0054118A" w:rsidP="00DD020F">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54118A" w:rsidRPr="00025B12" w:rsidRDefault="0054118A" w:rsidP="0054118A">
            <w:pPr>
              <w:spacing w:after="0" w:line="240" w:lineRule="auto"/>
              <w:jc w:val="center"/>
              <w:rPr>
                <w:rFonts w:ascii="Verdana" w:eastAsiaTheme="minorHAnsi" w:hAnsi="Verdana" w:cstheme="minorBidi"/>
                <w:sz w:val="18"/>
                <w:szCs w:val="18"/>
              </w:rPr>
            </w:pPr>
            <w:r w:rsidRPr="00025B12">
              <w:rPr>
                <w:rFonts w:ascii="Verdana" w:hAnsi="Verdana"/>
                <w:sz w:val="18"/>
                <w:szCs w:val="18"/>
              </w:rPr>
              <w:t>?</w:t>
            </w:r>
          </w:p>
        </w:tc>
        <w:tc>
          <w:tcPr>
            <w:tcW w:w="2303" w:type="dxa"/>
            <w:tcBorders>
              <w:top w:val="dotted" w:sz="4" w:space="0" w:color="auto"/>
              <w:left w:val="dotted" w:sz="4" w:space="0" w:color="auto"/>
              <w:bottom w:val="dotted" w:sz="4" w:space="0" w:color="auto"/>
              <w:right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Cermat</w:t>
            </w:r>
          </w:p>
        </w:tc>
        <w:tc>
          <w:tcPr>
            <w:tcW w:w="2126" w:type="dxa"/>
            <w:tcBorders>
              <w:top w:val="dotted" w:sz="4" w:space="0" w:color="auto"/>
              <w:left w:val="dotted" w:sz="4" w:space="0" w:color="auto"/>
              <w:bottom w:val="dotted" w:sz="4" w:space="0" w:color="auto"/>
              <w:right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bottom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54118A" w:rsidRPr="00025B12" w:rsidTr="00DD020F">
        <w:trPr>
          <w:trHeight w:val="360"/>
        </w:trPr>
        <w:tc>
          <w:tcPr>
            <w:tcW w:w="1452" w:type="dxa"/>
            <w:tcBorders>
              <w:top w:val="dotted" w:sz="4" w:space="0" w:color="auto"/>
              <w:right w:val="dotted" w:sz="4" w:space="0" w:color="auto"/>
            </w:tcBorders>
          </w:tcPr>
          <w:p w:rsidR="0054118A" w:rsidRPr="00025B12" w:rsidRDefault="0054118A" w:rsidP="00DD020F">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sz w:val="18"/>
                <w:szCs w:val="18"/>
              </w:rPr>
            </w:pPr>
            <w:r w:rsidRPr="00025B12">
              <w:rPr>
                <w:rFonts w:ascii="Verdana" w:hAnsi="Verdana"/>
                <w:sz w:val="18"/>
                <w:szCs w:val="18"/>
              </w:rPr>
              <w:t>?</w:t>
            </w:r>
          </w:p>
        </w:tc>
        <w:tc>
          <w:tcPr>
            <w:tcW w:w="2303" w:type="dxa"/>
            <w:tcBorders>
              <w:top w:val="dotted" w:sz="4" w:space="0" w:color="auto"/>
              <w:left w:val="dotted" w:sz="4" w:space="0" w:color="auto"/>
              <w:right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Cermat</w:t>
            </w:r>
          </w:p>
        </w:tc>
        <w:tc>
          <w:tcPr>
            <w:tcW w:w="2126" w:type="dxa"/>
            <w:tcBorders>
              <w:top w:val="dotted" w:sz="4" w:space="0" w:color="auto"/>
              <w:left w:val="dotted" w:sz="4" w:space="0" w:color="auto"/>
              <w:right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1749" w:type="dxa"/>
            <w:tcBorders>
              <w:top w:val="dotted" w:sz="4" w:space="0" w:color="auto"/>
              <w:left w:val="dotted" w:sz="4" w:space="0" w:color="auto"/>
            </w:tcBorders>
            <w:vAlign w:val="center"/>
          </w:tcPr>
          <w:p w:rsidR="0054118A" w:rsidRPr="00025B12" w:rsidRDefault="0054118A" w:rsidP="00DD020F">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V budoucnu</w:t>
            </w:r>
          </w:p>
        </w:tc>
      </w:tr>
      <w:tr w:rsidR="0054118A" w:rsidRPr="00025B12" w:rsidTr="00DD020F">
        <w:trPr>
          <w:trHeight w:val="274"/>
        </w:trPr>
        <w:tc>
          <w:tcPr>
            <w:tcW w:w="9288" w:type="dxa"/>
            <w:gridSpan w:val="5"/>
            <w:shd w:val="clear" w:color="auto" w:fill="663399"/>
          </w:tcPr>
          <w:p w:rsidR="0054118A" w:rsidRPr="00025B12" w:rsidRDefault="0054118A" w:rsidP="00DD020F">
            <w:pPr>
              <w:spacing w:after="0" w:line="240" w:lineRule="auto"/>
              <w:jc w:val="center"/>
              <w:rPr>
                <w:rFonts w:ascii="Verdana" w:eastAsiaTheme="minorHAnsi" w:hAnsi="Verdana" w:cstheme="minorBidi"/>
                <w:sz w:val="18"/>
                <w:szCs w:val="18"/>
              </w:rPr>
            </w:pPr>
          </w:p>
        </w:tc>
      </w:tr>
      <w:tr w:rsidR="0054118A" w:rsidRPr="00025B12" w:rsidTr="00DD020F">
        <w:trPr>
          <w:trHeight w:val="1319"/>
        </w:trPr>
        <w:tc>
          <w:tcPr>
            <w:tcW w:w="9288" w:type="dxa"/>
            <w:gridSpan w:val="5"/>
          </w:tcPr>
          <w:p w:rsidR="0054118A" w:rsidRPr="00025B12" w:rsidRDefault="0054118A" w:rsidP="00DD020F">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54118A" w:rsidRPr="00025B12" w:rsidRDefault="0054118A" w:rsidP="00DD020F">
            <w:pPr>
              <w:jc w:val="both"/>
              <w:rPr>
                <w:rFonts w:ascii="Verdana" w:hAnsi="Verdana"/>
                <w:sz w:val="18"/>
                <w:szCs w:val="18"/>
              </w:rPr>
            </w:pPr>
            <w:r w:rsidRPr="00025B12">
              <w:rPr>
                <w:rFonts w:ascii="Verdana" w:hAnsi="Verdana"/>
                <w:sz w:val="18"/>
                <w:szCs w:val="18"/>
              </w:rPr>
              <w:t>M-zkouška by měla být dílčí maturitní zkouška, kterou bude možné složit v rámci systému státních maturit. Evidence počtu takto složených zkoušek za daný rok pomůže společně s indikátorem IV.3.1 sledovat proces zvyšování kvalifikace populace prostřednictvím uznávání výsledků celoživotního učení.</w:t>
            </w:r>
          </w:p>
        </w:tc>
      </w:tr>
      <w:tr w:rsidR="0054118A" w:rsidRPr="00025B12" w:rsidTr="00DD020F">
        <w:trPr>
          <w:trHeight w:val="992"/>
        </w:trPr>
        <w:tc>
          <w:tcPr>
            <w:tcW w:w="9288" w:type="dxa"/>
            <w:gridSpan w:val="5"/>
          </w:tcPr>
          <w:p w:rsidR="0054118A" w:rsidRPr="00025B12" w:rsidRDefault="0054118A" w:rsidP="00DD020F">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54118A" w:rsidRPr="00025B12" w:rsidRDefault="0054118A" w:rsidP="0054118A">
            <w:pPr>
              <w:jc w:val="both"/>
              <w:rPr>
                <w:rFonts w:ascii="Verdana" w:hAnsi="Verdana"/>
                <w:sz w:val="18"/>
                <w:szCs w:val="18"/>
              </w:rPr>
            </w:pPr>
            <w:r w:rsidRPr="00025B12">
              <w:rPr>
                <w:rFonts w:ascii="Verdana" w:hAnsi="Verdana"/>
                <w:sz w:val="18"/>
                <w:szCs w:val="18"/>
              </w:rPr>
              <w:t>Indikátor bude vypočten jako počet dílčích M-zkoušek v daném roce absolutně a v přepočtu na 1000 zaměstnaných v odpovídající profesní skupině.</w:t>
            </w:r>
          </w:p>
        </w:tc>
      </w:tr>
      <w:tr w:rsidR="0054118A" w:rsidRPr="00025B12" w:rsidTr="00DD020F">
        <w:trPr>
          <w:trHeight w:val="423"/>
        </w:trPr>
        <w:tc>
          <w:tcPr>
            <w:tcW w:w="9288" w:type="dxa"/>
            <w:gridSpan w:val="5"/>
          </w:tcPr>
          <w:p w:rsidR="0054118A" w:rsidRPr="00025B12" w:rsidRDefault="0054118A" w:rsidP="00DD020F">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54118A" w:rsidRPr="00025B12" w:rsidRDefault="0054118A" w:rsidP="0054118A">
            <w:pPr>
              <w:jc w:val="both"/>
              <w:rPr>
                <w:rFonts w:ascii="Verdana" w:hAnsi="Verdana"/>
                <w:sz w:val="18"/>
                <w:szCs w:val="18"/>
              </w:rPr>
            </w:pPr>
            <w:r w:rsidRPr="00025B12">
              <w:rPr>
                <w:rFonts w:ascii="Verdana" w:hAnsi="Verdana"/>
                <w:sz w:val="18"/>
                <w:szCs w:val="18"/>
              </w:rPr>
              <w:t xml:space="preserve">Informace o skládaných zkouškách by mělo shromažďovat Centrum pro zjišťování výsledků vzdělávání (CERMAT). </w:t>
            </w:r>
            <w:r w:rsidR="00E26E2D" w:rsidRPr="00025B12">
              <w:rPr>
                <w:rFonts w:ascii="Verdana" w:hAnsi="Verdana"/>
                <w:sz w:val="18"/>
                <w:szCs w:val="18"/>
              </w:rPr>
              <w:t>Zatím</w:t>
            </w:r>
            <w:r w:rsidRPr="00025B12">
              <w:rPr>
                <w:rFonts w:ascii="Verdana" w:hAnsi="Verdana"/>
                <w:sz w:val="18"/>
                <w:szCs w:val="18"/>
              </w:rPr>
              <w:t xml:space="preserve"> není zřejmé, v jaké podobě budou data o nich evidována. Pro konstrukci indikátoru bude důležité zjišťovat počty složených M-zkoušek za daný rok podle oborů a krajů. Pokud to systém evidence umožní, bylo by velmi přínosné zjišťovat i informace o lidech, kteří zkoušky složili – např. věk a povolání. </w:t>
            </w:r>
          </w:p>
        </w:tc>
      </w:tr>
      <w:tr w:rsidR="0054118A" w:rsidRPr="00025B12" w:rsidTr="00DD020F">
        <w:trPr>
          <w:trHeight w:val="837"/>
        </w:trPr>
        <w:tc>
          <w:tcPr>
            <w:tcW w:w="9288" w:type="dxa"/>
            <w:gridSpan w:val="5"/>
          </w:tcPr>
          <w:p w:rsidR="0054118A" w:rsidRPr="00025B12" w:rsidRDefault="0054118A" w:rsidP="00DD020F">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54118A" w:rsidRPr="00025B12" w:rsidRDefault="0054118A" w:rsidP="00DD020F">
            <w:pPr>
              <w:jc w:val="both"/>
              <w:rPr>
                <w:rFonts w:ascii="Verdana" w:hAnsi="Verdana"/>
                <w:sz w:val="18"/>
                <w:szCs w:val="18"/>
              </w:rPr>
            </w:pPr>
            <w:r w:rsidRPr="00025B12">
              <w:rPr>
                <w:rFonts w:ascii="Verdana" w:hAnsi="Verdana"/>
                <w:sz w:val="18"/>
                <w:szCs w:val="18"/>
              </w:rPr>
              <w:t>-</w:t>
            </w:r>
          </w:p>
        </w:tc>
      </w:tr>
    </w:tbl>
    <w:p w:rsidR="00C43089" w:rsidRPr="00025B12" w:rsidRDefault="00C43089" w:rsidP="00C43089">
      <w:pPr>
        <w:jc w:val="both"/>
        <w:rPr>
          <w:rFonts w:ascii="Verdana" w:hAnsi="Verdana"/>
          <w:sz w:val="20"/>
          <w:szCs w:val="20"/>
        </w:rPr>
      </w:pPr>
    </w:p>
    <w:p w:rsidR="00C43089" w:rsidRPr="00025B12" w:rsidRDefault="0054118A" w:rsidP="00C43089">
      <w:pPr>
        <w:jc w:val="both"/>
        <w:rPr>
          <w:rFonts w:ascii="Verdana" w:hAnsi="Verdana"/>
          <w:b/>
          <w:sz w:val="24"/>
          <w:szCs w:val="24"/>
        </w:rPr>
      </w:pPr>
      <w:r w:rsidRPr="00025B12">
        <w:rPr>
          <w:rFonts w:ascii="Verdana" w:hAnsi="Verdana"/>
          <w:b/>
          <w:sz w:val="24"/>
          <w:szCs w:val="24"/>
        </w:rPr>
        <w:br w:type="page"/>
      </w:r>
      <w:r w:rsidR="00C43089" w:rsidRPr="00025B12">
        <w:rPr>
          <w:rFonts w:ascii="Verdana" w:hAnsi="Verdana"/>
          <w:b/>
          <w:sz w:val="24"/>
          <w:szCs w:val="24"/>
        </w:rPr>
        <w:lastRenderedPageBreak/>
        <w:t>IV.4 Účast na podnikovém vzdělávání</w:t>
      </w:r>
    </w:p>
    <w:p w:rsidR="006B5EEA" w:rsidRPr="00025B12" w:rsidRDefault="006B5EEA" w:rsidP="006B5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6B5EEA" w:rsidRPr="00025B12" w:rsidTr="00801105">
        <w:trPr>
          <w:trHeight w:val="425"/>
        </w:trPr>
        <w:tc>
          <w:tcPr>
            <w:tcW w:w="1417" w:type="dxa"/>
            <w:tcBorders>
              <w:bottom w:val="single" w:sz="4" w:space="0" w:color="auto"/>
              <w:right w:val="single" w:sz="4" w:space="0" w:color="auto"/>
            </w:tcBorders>
            <w:shd w:val="clear" w:color="auto" w:fill="663399"/>
            <w:vAlign w:val="center"/>
          </w:tcPr>
          <w:p w:rsidR="006B5EEA" w:rsidRPr="00025B12" w:rsidRDefault="006B5EEA" w:rsidP="00940374">
            <w:pPr>
              <w:pStyle w:val="Kd"/>
              <w:rPr>
                <w:sz w:val="18"/>
                <w:szCs w:val="18"/>
              </w:rPr>
            </w:pPr>
            <w:r w:rsidRPr="00025B12">
              <w:rPr>
                <w:sz w:val="18"/>
                <w:szCs w:val="18"/>
              </w:rPr>
              <w:br w:type="page"/>
            </w:r>
            <w:r w:rsidRPr="00025B12">
              <w:rPr>
                <w:sz w:val="18"/>
                <w:szCs w:val="18"/>
              </w:rPr>
              <w:br w:type="page"/>
            </w:r>
            <w:bookmarkStart w:id="128" w:name="IV41"/>
            <w:r w:rsidRPr="00025B12">
              <w:rPr>
                <w:sz w:val="18"/>
                <w:szCs w:val="18"/>
              </w:rPr>
              <w:t>IV.4.1</w:t>
            </w:r>
            <w:bookmarkEnd w:id="128"/>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6B5EEA" w:rsidRPr="00025B12" w:rsidRDefault="006B5EEA" w:rsidP="00940374">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Podíl vzdělávajících podniků</w:t>
            </w:r>
          </w:p>
        </w:tc>
      </w:tr>
      <w:tr w:rsidR="006B5EEA" w:rsidRPr="00025B12" w:rsidTr="00801105">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6B5EEA" w:rsidRPr="00025B12" w:rsidRDefault="00120F44" w:rsidP="00940374">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71" w:type="dxa"/>
            <w:gridSpan w:val="4"/>
            <w:vMerge/>
            <w:tcBorders>
              <w:left w:val="single" w:sz="4" w:space="0" w:color="auto"/>
              <w:bottom w:val="single" w:sz="4" w:space="0" w:color="auto"/>
              <w:right w:val="single" w:sz="4" w:space="0" w:color="auto"/>
            </w:tcBorders>
            <w:vAlign w:val="center"/>
          </w:tcPr>
          <w:p w:rsidR="006B5EEA" w:rsidRPr="00025B12" w:rsidRDefault="006B5EEA" w:rsidP="00940374">
            <w:pPr>
              <w:spacing w:after="0" w:line="240" w:lineRule="auto"/>
              <w:jc w:val="center"/>
              <w:rPr>
                <w:rFonts w:ascii="Verdana" w:eastAsiaTheme="minorHAnsi" w:hAnsi="Verdana" w:cstheme="minorBidi"/>
                <w:sz w:val="18"/>
                <w:szCs w:val="18"/>
              </w:rPr>
            </w:pPr>
          </w:p>
        </w:tc>
      </w:tr>
      <w:tr w:rsidR="006B5EEA" w:rsidRPr="00025B12" w:rsidTr="00296FE3">
        <w:trPr>
          <w:trHeight w:val="360"/>
        </w:trPr>
        <w:tc>
          <w:tcPr>
            <w:tcW w:w="1417" w:type="dxa"/>
            <w:tcBorders>
              <w:top w:val="single" w:sz="4" w:space="0" w:color="auto"/>
              <w:bottom w:val="dotted" w:sz="4" w:space="0" w:color="auto"/>
              <w:right w:val="dotted" w:sz="4" w:space="0" w:color="auto"/>
            </w:tcBorders>
          </w:tcPr>
          <w:p w:rsidR="006B5EEA" w:rsidRPr="00025B12" w:rsidRDefault="006B5EEA" w:rsidP="00940374">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6B5EEA" w:rsidRPr="00025B12" w:rsidRDefault="006B5EEA"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6B5EEA" w:rsidRPr="00025B12" w:rsidTr="00801105">
        <w:trPr>
          <w:trHeight w:val="360"/>
        </w:trPr>
        <w:tc>
          <w:tcPr>
            <w:tcW w:w="1417" w:type="dxa"/>
            <w:tcBorders>
              <w:top w:val="dotted" w:sz="4" w:space="0" w:color="auto"/>
              <w:bottom w:val="dotted" w:sz="4" w:space="0" w:color="auto"/>
              <w:right w:val="dotted" w:sz="4" w:space="0" w:color="auto"/>
            </w:tcBorders>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6B5EEA" w:rsidRPr="00025B12" w:rsidRDefault="00665F1D" w:rsidP="00940374">
            <w:pPr>
              <w:spacing w:after="0" w:line="240" w:lineRule="auto"/>
              <w:jc w:val="center"/>
              <w:rPr>
                <w:rFonts w:ascii="Verdana" w:eastAsiaTheme="minorHAnsi" w:hAnsi="Verdana" w:cstheme="minorBidi"/>
                <w:sz w:val="18"/>
                <w:szCs w:val="18"/>
              </w:rPr>
            </w:pPr>
            <w:hyperlink w:anchor="CVTS" w:history="1">
              <w:r w:rsidR="006B5EEA"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801105" w:rsidRPr="00025B12" w:rsidTr="00801105">
        <w:trPr>
          <w:trHeight w:val="360"/>
        </w:trPr>
        <w:tc>
          <w:tcPr>
            <w:tcW w:w="1417" w:type="dxa"/>
            <w:tcBorders>
              <w:top w:val="dotted" w:sz="4" w:space="0" w:color="auto"/>
              <w:bottom w:val="dotted" w:sz="4" w:space="0" w:color="auto"/>
              <w:right w:val="dotted" w:sz="4" w:space="0" w:color="auto"/>
            </w:tcBorders>
          </w:tcPr>
          <w:p w:rsidR="00801105" w:rsidRPr="00025B12" w:rsidRDefault="00801105"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801105" w:rsidRPr="00025B12" w:rsidRDefault="00665F1D" w:rsidP="005F2F0A">
            <w:pPr>
              <w:spacing w:after="0" w:line="240" w:lineRule="auto"/>
              <w:jc w:val="center"/>
              <w:rPr>
                <w:rFonts w:ascii="Verdana" w:eastAsiaTheme="minorHAnsi" w:hAnsi="Verdana" w:cstheme="minorBidi"/>
                <w:sz w:val="18"/>
                <w:szCs w:val="18"/>
              </w:rPr>
            </w:pPr>
            <w:hyperlink w:anchor="CVTS" w:history="1">
              <w:r w:rsidR="00801105"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6B5EEA" w:rsidRPr="00025B12" w:rsidTr="00801105">
        <w:trPr>
          <w:trHeight w:val="360"/>
        </w:trPr>
        <w:tc>
          <w:tcPr>
            <w:tcW w:w="1417" w:type="dxa"/>
            <w:tcBorders>
              <w:top w:val="dotted" w:sz="4" w:space="0" w:color="auto"/>
              <w:right w:val="dotted" w:sz="4" w:space="0" w:color="auto"/>
            </w:tcBorders>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20" w:type="dxa"/>
            <w:tcBorders>
              <w:top w:val="dotted" w:sz="4" w:space="0" w:color="auto"/>
              <w:left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4" w:type="dxa"/>
            <w:tcBorders>
              <w:top w:val="dotted" w:sz="4" w:space="0" w:color="auto"/>
              <w:left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6B5EEA" w:rsidRPr="00025B12" w:rsidTr="00801105">
        <w:trPr>
          <w:trHeight w:val="274"/>
        </w:trPr>
        <w:tc>
          <w:tcPr>
            <w:tcW w:w="9288" w:type="dxa"/>
            <w:gridSpan w:val="5"/>
            <w:shd w:val="clear" w:color="auto" w:fill="663399"/>
          </w:tcPr>
          <w:p w:rsidR="006B5EEA" w:rsidRPr="00025B12" w:rsidRDefault="006B5EEA" w:rsidP="00940374">
            <w:pPr>
              <w:spacing w:after="0" w:line="240" w:lineRule="auto"/>
              <w:jc w:val="center"/>
              <w:rPr>
                <w:rFonts w:ascii="Verdana" w:eastAsiaTheme="minorHAnsi" w:hAnsi="Verdana" w:cstheme="minorBidi"/>
                <w:sz w:val="18"/>
                <w:szCs w:val="18"/>
              </w:rPr>
            </w:pPr>
          </w:p>
        </w:tc>
      </w:tr>
      <w:tr w:rsidR="006B5EEA" w:rsidRPr="00025B12" w:rsidTr="00801105">
        <w:trPr>
          <w:trHeight w:val="1319"/>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6B5EEA" w:rsidRPr="00025B12" w:rsidRDefault="006B5EEA" w:rsidP="00940374">
            <w:pPr>
              <w:jc w:val="both"/>
              <w:rPr>
                <w:rFonts w:ascii="Verdana" w:hAnsi="Verdana"/>
                <w:sz w:val="18"/>
                <w:szCs w:val="18"/>
              </w:rPr>
            </w:pPr>
            <w:r w:rsidRPr="00025B12">
              <w:rPr>
                <w:rFonts w:ascii="Verdana" w:hAnsi="Verdana"/>
                <w:sz w:val="18"/>
                <w:szCs w:val="18"/>
              </w:rPr>
              <w:t>Základním indikátorem popisujícím další vzdělávání z hlediska podniků je podíl vzdělávajících podniků na všech podnicích. Tento údaj může informovat o konkurenceschopnosti podniků z hlediska rozvoje kvality lidských zdrojů ve srovnání s dalšími zeměmi. Může být také užitečná pro poskytovatele dalšího vzdělávání, neboť jim ukazuje velikost skupiny uživatelů a potenciálních uživatelů jejich služeb.</w:t>
            </w:r>
          </w:p>
        </w:tc>
      </w:tr>
      <w:tr w:rsidR="006B5EEA" w:rsidRPr="00025B12" w:rsidTr="00801105">
        <w:trPr>
          <w:trHeight w:val="992"/>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6B5EEA" w:rsidRPr="00025B12" w:rsidRDefault="006B5EEA" w:rsidP="00940374">
            <w:pPr>
              <w:jc w:val="both"/>
              <w:rPr>
                <w:rFonts w:ascii="Verdana" w:hAnsi="Verdana"/>
                <w:sz w:val="18"/>
                <w:szCs w:val="18"/>
              </w:rPr>
            </w:pPr>
            <w:r w:rsidRPr="00025B12">
              <w:rPr>
                <w:rFonts w:ascii="Verdana" w:hAnsi="Verdana"/>
                <w:sz w:val="18"/>
                <w:szCs w:val="18"/>
              </w:rPr>
              <w:t>Indikátor je vypočten jako podíl vzdělávajících podniků na všech podnicích. Za vzdělávající podnik je považován takový, který poskytl v referenčním roce svým zaměstnancům nějakou form</w:t>
            </w:r>
            <w:r w:rsidR="00062AE5" w:rsidRPr="00025B12">
              <w:rPr>
                <w:rFonts w:ascii="Verdana" w:hAnsi="Verdana"/>
                <w:sz w:val="18"/>
                <w:szCs w:val="18"/>
              </w:rPr>
              <w:t>u vzdělávání ať už kurzy či ostatní sledované</w:t>
            </w:r>
            <w:r w:rsidRPr="00025B12">
              <w:rPr>
                <w:rFonts w:ascii="Verdana" w:hAnsi="Verdana"/>
                <w:sz w:val="18"/>
                <w:szCs w:val="18"/>
              </w:rPr>
              <w:t xml:space="preserve"> formy (rotace pracovních míst, školení on-the-job, studijní kroužky, sebevzdělávání a účast na konferencích).</w:t>
            </w:r>
          </w:p>
        </w:tc>
      </w:tr>
      <w:tr w:rsidR="006B5EEA" w:rsidRPr="00025B12" w:rsidTr="00801105">
        <w:trPr>
          <w:trHeight w:val="423"/>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6B5EEA" w:rsidRPr="00025B12" w:rsidRDefault="006B5EEA" w:rsidP="00940374">
            <w:pPr>
              <w:jc w:val="both"/>
              <w:rPr>
                <w:rFonts w:ascii="Verdana" w:hAnsi="Verdana"/>
                <w:sz w:val="18"/>
                <w:szCs w:val="18"/>
              </w:rPr>
            </w:pPr>
            <w:r w:rsidRPr="00025B12">
              <w:rPr>
                <w:rFonts w:ascii="Verdana" w:hAnsi="Verdana"/>
                <w:sz w:val="18"/>
                <w:szCs w:val="18"/>
              </w:rPr>
              <w:t>Data pro mezinárodní srovnání jsou převzata z webových stránek Eurostatu. Regionální třídění není k dispozici.</w:t>
            </w:r>
          </w:p>
        </w:tc>
      </w:tr>
      <w:tr w:rsidR="006B5EEA" w:rsidRPr="00025B12" w:rsidTr="00801105">
        <w:trPr>
          <w:trHeight w:val="837"/>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6B5EEA" w:rsidRPr="00025B12" w:rsidRDefault="006B5EEA" w:rsidP="00940374">
            <w:pPr>
              <w:jc w:val="both"/>
              <w:rPr>
                <w:rFonts w:ascii="Verdana" w:hAnsi="Verdana"/>
                <w:sz w:val="18"/>
                <w:szCs w:val="18"/>
              </w:rPr>
            </w:pPr>
            <w:r w:rsidRPr="00025B12">
              <w:rPr>
                <w:rFonts w:ascii="Verdana" w:hAnsi="Verdana"/>
                <w:sz w:val="18"/>
                <w:szCs w:val="18"/>
              </w:rPr>
              <w:t>Nevýhodou tohoto šetření je dlouhá doba mezi jeho dvěma koly, která neumožňuje zjistit dostatečně rychle například dopady různých opatření na zvýšení účasti podniků v podnikovém vzdělávání. Navíc uplyne relativně dlouhá doba od zjišťování dat do jejich zveřejnění (obvykle jde o dobu cca 2 let od konce referenčního období). Proto by bylo vhodné v mezidobí mezi jednotlivými koly CVTS doplnit národní zdroj dat, který by umožňoval výpočet tohoto indikátoru.</w:t>
            </w:r>
          </w:p>
        </w:tc>
      </w:tr>
    </w:tbl>
    <w:p w:rsidR="002319EF" w:rsidRPr="00025B12" w:rsidRDefault="002319EF" w:rsidP="006B5EEA"/>
    <w:p w:rsidR="006B5EEA" w:rsidRPr="00025B12" w:rsidRDefault="002319EF" w:rsidP="00314709">
      <w:pPr>
        <w:spacing w:after="0"/>
        <w:rPr>
          <w:sz w:val="18"/>
          <w:szCs w:val="18"/>
        </w:rPr>
      </w:pPr>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2319EF" w:rsidRPr="00025B12" w:rsidTr="00D131AA">
        <w:trPr>
          <w:trHeight w:val="425"/>
        </w:trPr>
        <w:tc>
          <w:tcPr>
            <w:tcW w:w="1417" w:type="dxa"/>
            <w:tcBorders>
              <w:bottom w:val="single" w:sz="4" w:space="0" w:color="auto"/>
              <w:right w:val="single" w:sz="4" w:space="0" w:color="auto"/>
            </w:tcBorders>
            <w:shd w:val="clear" w:color="auto" w:fill="663399"/>
            <w:vAlign w:val="center"/>
          </w:tcPr>
          <w:p w:rsidR="002319EF" w:rsidRPr="00025B12" w:rsidRDefault="002319EF" w:rsidP="00D131AA">
            <w:pPr>
              <w:pStyle w:val="Kd"/>
              <w:rPr>
                <w:sz w:val="18"/>
                <w:szCs w:val="18"/>
              </w:rPr>
            </w:pPr>
            <w:r w:rsidRPr="00025B12">
              <w:rPr>
                <w:sz w:val="18"/>
                <w:szCs w:val="18"/>
              </w:rPr>
              <w:br w:type="page"/>
            </w:r>
            <w:r w:rsidRPr="00025B12">
              <w:rPr>
                <w:sz w:val="18"/>
                <w:szCs w:val="18"/>
              </w:rPr>
              <w:br w:type="page"/>
            </w:r>
            <w:bookmarkStart w:id="129" w:name="IV44"/>
            <w:r w:rsidRPr="00025B12">
              <w:rPr>
                <w:sz w:val="18"/>
                <w:szCs w:val="18"/>
              </w:rPr>
              <w:t>IV.4.</w:t>
            </w:r>
            <w:bookmarkEnd w:id="129"/>
            <w:r w:rsidRPr="00025B12">
              <w:rPr>
                <w:sz w:val="18"/>
                <w:szCs w:val="18"/>
              </w:rPr>
              <w:t>2</w:t>
            </w:r>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2319EF" w:rsidRPr="00025B12" w:rsidRDefault="002319EF"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Zaměření kurzů podnikového vzdělávání</w:t>
            </w:r>
          </w:p>
        </w:tc>
      </w:tr>
      <w:tr w:rsidR="002319EF" w:rsidRPr="00025B12" w:rsidTr="00D131AA">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2319EF" w:rsidRPr="00025B12" w:rsidRDefault="002319EF" w:rsidP="00D131AA">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Klíčový</w:t>
            </w:r>
          </w:p>
        </w:tc>
        <w:tc>
          <w:tcPr>
            <w:tcW w:w="7871" w:type="dxa"/>
            <w:gridSpan w:val="4"/>
            <w:vMerge/>
            <w:tcBorders>
              <w:left w:val="single" w:sz="4" w:space="0" w:color="auto"/>
              <w:bottom w:val="single" w:sz="4" w:space="0" w:color="auto"/>
              <w:right w:val="single"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18"/>
                <w:szCs w:val="18"/>
              </w:rPr>
            </w:pPr>
          </w:p>
        </w:tc>
      </w:tr>
      <w:tr w:rsidR="002319EF" w:rsidRPr="00025B12" w:rsidTr="00296FE3">
        <w:trPr>
          <w:trHeight w:val="360"/>
        </w:trPr>
        <w:tc>
          <w:tcPr>
            <w:tcW w:w="1417" w:type="dxa"/>
            <w:tcBorders>
              <w:top w:val="single" w:sz="4" w:space="0" w:color="auto"/>
              <w:bottom w:val="dotted" w:sz="4" w:space="0" w:color="auto"/>
              <w:right w:val="dotted" w:sz="4" w:space="0" w:color="auto"/>
            </w:tcBorders>
          </w:tcPr>
          <w:p w:rsidR="002319EF" w:rsidRPr="00025B12" w:rsidRDefault="002319EF" w:rsidP="00D131AA">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2319EF" w:rsidRPr="00025B12" w:rsidRDefault="002319EF"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2319EF" w:rsidRPr="00025B12" w:rsidTr="00D131AA">
        <w:trPr>
          <w:trHeight w:val="360"/>
        </w:trPr>
        <w:tc>
          <w:tcPr>
            <w:tcW w:w="1417" w:type="dxa"/>
            <w:tcBorders>
              <w:top w:val="dotted" w:sz="4" w:space="0" w:color="auto"/>
              <w:bottom w:val="dotted" w:sz="4" w:space="0" w:color="auto"/>
              <w:right w:val="dotted" w:sz="4" w:space="0" w:color="auto"/>
            </w:tcBorders>
          </w:tcPr>
          <w:p w:rsidR="002319EF" w:rsidRPr="00025B12" w:rsidRDefault="002319EF"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2319EF" w:rsidRPr="00025B12" w:rsidRDefault="00665F1D" w:rsidP="00D131AA">
            <w:pPr>
              <w:spacing w:after="0" w:line="240" w:lineRule="auto"/>
              <w:jc w:val="center"/>
              <w:rPr>
                <w:rFonts w:ascii="Verdana" w:eastAsiaTheme="minorHAnsi" w:hAnsi="Verdana" w:cstheme="minorBidi"/>
                <w:sz w:val="18"/>
                <w:szCs w:val="18"/>
              </w:rPr>
            </w:pPr>
            <w:hyperlink w:anchor="CVTS" w:history="1">
              <w:r w:rsidR="002319EF"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2319EF" w:rsidRPr="00025B12" w:rsidTr="00D131AA">
        <w:trPr>
          <w:trHeight w:val="360"/>
        </w:trPr>
        <w:tc>
          <w:tcPr>
            <w:tcW w:w="1417" w:type="dxa"/>
            <w:tcBorders>
              <w:top w:val="dotted" w:sz="4" w:space="0" w:color="auto"/>
              <w:bottom w:val="dotted" w:sz="4" w:space="0" w:color="auto"/>
              <w:right w:val="dotted" w:sz="4" w:space="0" w:color="auto"/>
            </w:tcBorders>
          </w:tcPr>
          <w:p w:rsidR="002319EF" w:rsidRPr="00025B12" w:rsidRDefault="002319EF"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2319EF" w:rsidRPr="00025B12" w:rsidRDefault="00665F1D" w:rsidP="00D131AA">
            <w:pPr>
              <w:spacing w:after="0" w:line="240" w:lineRule="auto"/>
              <w:jc w:val="center"/>
              <w:rPr>
                <w:rFonts w:ascii="Verdana" w:eastAsiaTheme="minorHAnsi" w:hAnsi="Verdana" w:cstheme="minorBidi"/>
                <w:sz w:val="18"/>
                <w:szCs w:val="18"/>
              </w:rPr>
            </w:pPr>
            <w:hyperlink w:anchor="CVTS" w:history="1">
              <w:r w:rsidR="002319EF"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2319EF" w:rsidRPr="00025B12" w:rsidTr="00D131AA">
        <w:trPr>
          <w:trHeight w:val="360"/>
        </w:trPr>
        <w:tc>
          <w:tcPr>
            <w:tcW w:w="1417" w:type="dxa"/>
            <w:tcBorders>
              <w:top w:val="dotted" w:sz="4" w:space="0" w:color="auto"/>
              <w:right w:val="dotted" w:sz="4" w:space="0" w:color="auto"/>
            </w:tcBorders>
          </w:tcPr>
          <w:p w:rsidR="002319EF" w:rsidRPr="00025B12" w:rsidRDefault="002319EF" w:rsidP="00D131AA">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20" w:type="dxa"/>
            <w:tcBorders>
              <w:top w:val="dotted" w:sz="4" w:space="0" w:color="auto"/>
              <w:left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4" w:type="dxa"/>
            <w:tcBorders>
              <w:top w:val="dotted" w:sz="4" w:space="0" w:color="auto"/>
              <w:left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2319EF" w:rsidRPr="00025B12" w:rsidTr="00D131AA">
        <w:trPr>
          <w:trHeight w:val="274"/>
        </w:trPr>
        <w:tc>
          <w:tcPr>
            <w:tcW w:w="9288" w:type="dxa"/>
            <w:gridSpan w:val="5"/>
            <w:shd w:val="clear" w:color="auto" w:fill="663399"/>
          </w:tcPr>
          <w:p w:rsidR="002319EF" w:rsidRPr="00025B12" w:rsidRDefault="002319EF" w:rsidP="00D131AA">
            <w:pPr>
              <w:spacing w:after="0" w:line="240" w:lineRule="auto"/>
              <w:jc w:val="center"/>
              <w:rPr>
                <w:rFonts w:ascii="Verdana" w:eastAsiaTheme="minorHAnsi" w:hAnsi="Verdana" w:cstheme="minorBidi"/>
                <w:sz w:val="18"/>
                <w:szCs w:val="18"/>
              </w:rPr>
            </w:pPr>
          </w:p>
        </w:tc>
      </w:tr>
      <w:tr w:rsidR="002319EF" w:rsidRPr="00025B12" w:rsidTr="00D131AA">
        <w:trPr>
          <w:trHeight w:val="1460"/>
        </w:trPr>
        <w:tc>
          <w:tcPr>
            <w:tcW w:w="9288" w:type="dxa"/>
            <w:gridSpan w:val="5"/>
          </w:tcPr>
          <w:p w:rsidR="002319EF" w:rsidRPr="00025B12" w:rsidRDefault="002319EF" w:rsidP="00314709">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2319EF" w:rsidRPr="00025B12" w:rsidRDefault="002319EF" w:rsidP="00314709">
            <w:pPr>
              <w:spacing w:after="120"/>
              <w:jc w:val="both"/>
              <w:rPr>
                <w:rFonts w:ascii="Verdana" w:hAnsi="Verdana"/>
                <w:sz w:val="18"/>
                <w:szCs w:val="18"/>
              </w:rPr>
            </w:pPr>
            <w:r w:rsidRPr="00025B12">
              <w:rPr>
                <w:rFonts w:ascii="Verdana" w:hAnsi="Verdana"/>
                <w:sz w:val="18"/>
                <w:szCs w:val="18"/>
              </w:rPr>
              <w:t>Indikátor popisuje strukturu kurzů podnikového vzdělávání z hlediska oborů. Tato informace může sloužit jak pro poskytovatele dalšího vzdělávání z hlediska jejich obecnějšího zacílení vzdělávacích kurzů, tak může poskytovat širší informace. Vyšší podíl některého typu kurzů nepřímo informuje buď o nových trendech a technologických změnách (v tom případě se pravděpodobně bude projevovat ve všech zemích), tak například o nedostatečné kvalitě absolventů formálního vzdělávání, která vyvolává zvýšenou potřebu podniků v určitém oboru vzdělávat.</w:t>
            </w:r>
          </w:p>
        </w:tc>
      </w:tr>
      <w:tr w:rsidR="002319EF" w:rsidRPr="00025B12" w:rsidTr="00D131AA">
        <w:trPr>
          <w:trHeight w:val="992"/>
        </w:trPr>
        <w:tc>
          <w:tcPr>
            <w:tcW w:w="9288" w:type="dxa"/>
            <w:gridSpan w:val="5"/>
          </w:tcPr>
          <w:p w:rsidR="002319EF" w:rsidRPr="00025B12" w:rsidRDefault="002319EF" w:rsidP="00314709">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2319EF" w:rsidRPr="00025B12" w:rsidRDefault="002319EF" w:rsidP="00314709">
            <w:pPr>
              <w:spacing w:after="120"/>
              <w:jc w:val="both"/>
              <w:rPr>
                <w:rFonts w:ascii="Verdana" w:hAnsi="Verdana"/>
                <w:sz w:val="18"/>
                <w:szCs w:val="18"/>
              </w:rPr>
            </w:pPr>
            <w:r w:rsidRPr="00025B12">
              <w:rPr>
                <w:rFonts w:ascii="Verdana" w:hAnsi="Verdana"/>
                <w:sz w:val="18"/>
                <w:szCs w:val="18"/>
              </w:rPr>
              <w:t>Indikátor bude vyjadřovat podíl pracovní doby strávené na kurzech dle jednotlivých oborů vzdělávání na celkové pracovní době strávené na kurzech dalšího vzdělávání.</w:t>
            </w:r>
          </w:p>
          <w:p w:rsidR="002319EF" w:rsidRPr="00025B12" w:rsidRDefault="002319EF" w:rsidP="00314709">
            <w:pPr>
              <w:spacing w:after="120"/>
              <w:jc w:val="both"/>
              <w:rPr>
                <w:rFonts w:ascii="Verdana" w:hAnsi="Verdana"/>
                <w:sz w:val="18"/>
                <w:szCs w:val="18"/>
              </w:rPr>
            </w:pPr>
            <w:r w:rsidRPr="00025B12">
              <w:rPr>
                <w:rFonts w:ascii="Verdana" w:hAnsi="Verdana"/>
                <w:sz w:val="18"/>
                <w:szCs w:val="18"/>
              </w:rPr>
              <w:t>V budoucnu by měl indikátor vycházet z šetření CVTS. Struktura otázek vztahujících se k oborům vzdělávání se však v tomto šetření v současné době mění. V CVTS3, které proběhlo v roce 2005, byly sledovány následující obory vzdělávání:</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Jazyky (cizí a mateřský jazyk) </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Obchod a marketing </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Účetnictví, finance, řízení a správa a kancelářské práce</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Osobní rozvoj a pracovní prostředí</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Výpočetní technika a využití počítačů a internetu</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Technika, zpracování a výstavba</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Ochrana životního prostředí a bezpečnost a ochrana zdraví při práci</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Osobní služby, přepravní služby, ochrana majetku a osob a vojenství</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Jiné obory vzdělávání</w:t>
            </w:r>
          </w:p>
          <w:p w:rsidR="002319EF" w:rsidRPr="00025B12" w:rsidRDefault="002319EF" w:rsidP="00314709">
            <w:pPr>
              <w:spacing w:after="120"/>
              <w:jc w:val="both"/>
              <w:rPr>
                <w:rFonts w:ascii="Verdana" w:hAnsi="Verdana"/>
                <w:sz w:val="18"/>
                <w:szCs w:val="18"/>
              </w:rPr>
            </w:pPr>
            <w:r w:rsidRPr="00025B12">
              <w:rPr>
                <w:rFonts w:ascii="Verdana" w:hAnsi="Verdana"/>
                <w:sz w:val="18"/>
                <w:szCs w:val="18"/>
              </w:rPr>
              <w:t>V připravovaném šetření CVTS4 budou však jednotlivé obory (oblasti) vázat na požadované kompetence a budou sledovány v následujícím členění:</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Základní dovednosti z inform. technologií                 </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Profesionální dovednosti z inform. technologií          </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Řídící schopnosti                                                      </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Týmové schopnosti                                                  </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Dovednosti jednání se zákazníky                             </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Schopnosti řešení problémů                                                </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Administrativní dovednosti                                        </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Znalosti jazyků                                                          </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Technické, praktické či specif. pracovní dovednosti  </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Komunikační (verbální či písemné) schopnosti        </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Znalosti základních početních úkonů a gramotnosti </w:t>
            </w:r>
          </w:p>
          <w:p w:rsidR="002319EF" w:rsidRPr="00025B12" w:rsidRDefault="002319EF" w:rsidP="00314709">
            <w:pPr>
              <w:numPr>
                <w:ilvl w:val="0"/>
                <w:numId w:val="7"/>
              </w:numPr>
              <w:spacing w:after="0"/>
              <w:ind w:left="714" w:hanging="357"/>
              <w:jc w:val="both"/>
              <w:rPr>
                <w:rFonts w:ascii="Verdana" w:hAnsi="Verdana"/>
                <w:sz w:val="18"/>
                <w:szCs w:val="18"/>
              </w:rPr>
            </w:pPr>
            <w:r w:rsidRPr="00025B12">
              <w:rPr>
                <w:rFonts w:ascii="Verdana" w:hAnsi="Verdana"/>
                <w:sz w:val="18"/>
                <w:szCs w:val="18"/>
              </w:rPr>
              <w:t xml:space="preserve">Ostatní (výše neuvedené)                                         </w:t>
            </w:r>
          </w:p>
        </w:tc>
      </w:tr>
      <w:tr w:rsidR="002319EF" w:rsidRPr="00025B12" w:rsidTr="00D131AA">
        <w:trPr>
          <w:trHeight w:val="423"/>
        </w:trPr>
        <w:tc>
          <w:tcPr>
            <w:tcW w:w="9288" w:type="dxa"/>
            <w:gridSpan w:val="5"/>
          </w:tcPr>
          <w:p w:rsidR="002319EF" w:rsidRPr="00025B12" w:rsidRDefault="002319EF" w:rsidP="00314709">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2319EF" w:rsidRPr="00025B12" w:rsidRDefault="002319EF" w:rsidP="00314709">
            <w:pPr>
              <w:spacing w:after="120"/>
              <w:jc w:val="both"/>
              <w:rPr>
                <w:rFonts w:ascii="Verdana" w:hAnsi="Verdana"/>
                <w:sz w:val="18"/>
                <w:szCs w:val="18"/>
              </w:rPr>
            </w:pPr>
            <w:r w:rsidRPr="00025B12">
              <w:rPr>
                <w:rFonts w:ascii="Verdana" w:hAnsi="Verdana"/>
                <w:sz w:val="18"/>
                <w:szCs w:val="18"/>
              </w:rPr>
              <w:t>Data pro mezinárodní srovnání jsou převzata z webových stránek Eurostatu. Regionální třídění není k dispozici.</w:t>
            </w:r>
          </w:p>
        </w:tc>
      </w:tr>
      <w:tr w:rsidR="002319EF" w:rsidRPr="00025B12" w:rsidTr="00D131AA">
        <w:trPr>
          <w:trHeight w:val="837"/>
        </w:trPr>
        <w:tc>
          <w:tcPr>
            <w:tcW w:w="9288" w:type="dxa"/>
            <w:gridSpan w:val="5"/>
          </w:tcPr>
          <w:p w:rsidR="002319EF" w:rsidRPr="00025B12" w:rsidRDefault="002319EF" w:rsidP="00314709">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lastRenderedPageBreak/>
              <w:t>Poznámky:</w:t>
            </w:r>
          </w:p>
          <w:p w:rsidR="002319EF" w:rsidRPr="00025B12" w:rsidRDefault="002319EF" w:rsidP="00314709">
            <w:pPr>
              <w:spacing w:after="120"/>
              <w:jc w:val="both"/>
              <w:rPr>
                <w:rFonts w:ascii="Verdana" w:hAnsi="Verdana"/>
                <w:sz w:val="18"/>
                <w:szCs w:val="18"/>
              </w:rPr>
            </w:pPr>
            <w:r w:rsidRPr="00025B12">
              <w:rPr>
                <w:rFonts w:ascii="Verdana" w:hAnsi="Verdana"/>
                <w:sz w:val="18"/>
                <w:szCs w:val="18"/>
              </w:rPr>
              <w:t>V současné době však není veřejně (mezinárodně) publikována struktura oborů z CVTS3, indikátor byl proto dočasně substituován výsledky AES, které udávají strukturu oborů u vzdělávání souvisejícího se zaměstnáním. Jedná se však o šetření jednotlivců a nevypovídá tak úplně přesně o podnikovém vzdělávání.</w:t>
            </w:r>
          </w:p>
        </w:tc>
      </w:tr>
    </w:tbl>
    <w:p w:rsidR="002319EF" w:rsidRPr="00025B12" w:rsidRDefault="002319EF" w:rsidP="006B5EEA"/>
    <w:p w:rsidR="002319EF" w:rsidRPr="00025B12" w:rsidRDefault="002319EF" w:rsidP="006B5EEA"/>
    <w:p w:rsidR="002319EF" w:rsidRPr="00025B12" w:rsidRDefault="002319EF" w:rsidP="006B5EEA">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2319EF" w:rsidRPr="00025B12" w:rsidTr="00D131AA">
        <w:trPr>
          <w:trHeight w:val="425"/>
        </w:trPr>
        <w:tc>
          <w:tcPr>
            <w:tcW w:w="1417" w:type="dxa"/>
            <w:tcBorders>
              <w:bottom w:val="single" w:sz="4" w:space="0" w:color="auto"/>
              <w:right w:val="single" w:sz="4" w:space="0" w:color="auto"/>
            </w:tcBorders>
            <w:shd w:val="clear" w:color="auto" w:fill="663399"/>
            <w:vAlign w:val="center"/>
          </w:tcPr>
          <w:p w:rsidR="002319EF" w:rsidRPr="00025B12" w:rsidRDefault="002319EF" w:rsidP="00D131AA">
            <w:pPr>
              <w:pStyle w:val="Kd"/>
            </w:pPr>
            <w:r w:rsidRPr="00025B12">
              <w:br w:type="page"/>
            </w:r>
            <w:r w:rsidRPr="00025B12">
              <w:br w:type="page"/>
            </w:r>
            <w:bookmarkStart w:id="130" w:name="IV45"/>
            <w:r w:rsidRPr="00025B12">
              <w:t>IV.4.</w:t>
            </w:r>
            <w:bookmarkEnd w:id="130"/>
            <w:r w:rsidRPr="00025B12">
              <w:t>3</w:t>
            </w:r>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2319EF" w:rsidRPr="00025B12" w:rsidRDefault="002319EF" w:rsidP="00D131AA">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Počet hodin strávených na kurzech na 1000 odpracovaných hodin</w:t>
            </w:r>
          </w:p>
        </w:tc>
      </w:tr>
      <w:tr w:rsidR="002319EF" w:rsidRPr="00025B12" w:rsidTr="00D131AA">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2319EF" w:rsidRPr="00025B12" w:rsidRDefault="002319EF" w:rsidP="00D131AA">
            <w:pPr>
              <w:spacing w:after="0" w:line="240" w:lineRule="auto"/>
              <w:jc w:val="center"/>
              <w:rPr>
                <w:rFonts w:ascii="Verdana" w:eastAsiaTheme="minorHAnsi" w:hAnsi="Verdana" w:cstheme="minorBidi"/>
                <w:b/>
                <w:color w:val="FFFFFF" w:themeColor="background1"/>
                <w:sz w:val="20"/>
                <w:szCs w:val="20"/>
              </w:rPr>
            </w:pPr>
            <w:r w:rsidRPr="00025B12">
              <w:rPr>
                <w:rFonts w:ascii="Verdana" w:eastAsiaTheme="minorHAnsi" w:hAnsi="Verdana" w:cstheme="minorBidi"/>
                <w:b/>
                <w:color w:val="FFFFFF" w:themeColor="background1"/>
                <w:sz w:val="20"/>
                <w:szCs w:val="20"/>
              </w:rPr>
              <w:t>Klíčový</w:t>
            </w:r>
          </w:p>
        </w:tc>
        <w:tc>
          <w:tcPr>
            <w:tcW w:w="7871" w:type="dxa"/>
            <w:gridSpan w:val="4"/>
            <w:vMerge/>
            <w:tcBorders>
              <w:left w:val="single" w:sz="4" w:space="0" w:color="auto"/>
              <w:bottom w:val="single" w:sz="4" w:space="0" w:color="auto"/>
              <w:right w:val="single"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20"/>
                <w:szCs w:val="20"/>
              </w:rPr>
            </w:pPr>
          </w:p>
        </w:tc>
      </w:tr>
      <w:tr w:rsidR="002319EF" w:rsidRPr="00025B12" w:rsidTr="00296FE3">
        <w:trPr>
          <w:trHeight w:val="360"/>
        </w:trPr>
        <w:tc>
          <w:tcPr>
            <w:tcW w:w="1417" w:type="dxa"/>
            <w:tcBorders>
              <w:top w:val="single" w:sz="4" w:space="0" w:color="auto"/>
              <w:bottom w:val="dotted" w:sz="4" w:space="0" w:color="auto"/>
              <w:right w:val="dotted" w:sz="4" w:space="0" w:color="auto"/>
            </w:tcBorders>
          </w:tcPr>
          <w:p w:rsidR="002319EF" w:rsidRPr="00025B12" w:rsidRDefault="002319EF" w:rsidP="00D131AA">
            <w:pPr>
              <w:spacing w:after="0" w:line="240" w:lineRule="auto"/>
              <w:jc w:val="center"/>
              <w:rPr>
                <w:rFonts w:ascii="Verdana" w:eastAsiaTheme="minorHAnsi" w:hAnsi="Verdana" w:cstheme="minorBidi"/>
                <w:sz w:val="20"/>
                <w:szCs w:val="20"/>
              </w:rPr>
            </w:pPr>
          </w:p>
        </w:tc>
        <w:tc>
          <w:tcPr>
            <w:tcW w:w="1548" w:type="dxa"/>
            <w:tcBorders>
              <w:top w:val="single"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b/>
                <w:sz w:val="20"/>
                <w:szCs w:val="20"/>
              </w:rPr>
            </w:pPr>
            <w:r w:rsidRPr="00025B12">
              <w:rPr>
                <w:rFonts w:ascii="Verdana" w:eastAsiaTheme="minorHAnsi" w:hAnsi="Verdana" w:cstheme="minorBidi"/>
                <w:b/>
                <w:sz w:val="20"/>
                <w:szCs w:val="20"/>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b/>
                <w:sz w:val="20"/>
                <w:szCs w:val="20"/>
              </w:rPr>
            </w:pPr>
            <w:r w:rsidRPr="00025B12">
              <w:rPr>
                <w:rFonts w:ascii="Verdana" w:eastAsiaTheme="minorHAnsi" w:hAnsi="Verdana" w:cstheme="minorBidi"/>
                <w:b/>
                <w:sz w:val="20"/>
                <w:szCs w:val="20"/>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b/>
                <w:sz w:val="20"/>
                <w:szCs w:val="20"/>
              </w:rPr>
            </w:pPr>
            <w:r w:rsidRPr="00025B12">
              <w:rPr>
                <w:rFonts w:ascii="Verdana" w:eastAsiaTheme="minorHAnsi" w:hAnsi="Verdana" w:cstheme="minorBidi"/>
                <w:b/>
                <w:sz w:val="20"/>
                <w:szCs w:val="20"/>
              </w:rPr>
              <w:t>Periodicita publikace</w:t>
            </w:r>
          </w:p>
        </w:tc>
        <w:tc>
          <w:tcPr>
            <w:tcW w:w="2069" w:type="dxa"/>
            <w:tcBorders>
              <w:top w:val="single" w:sz="4" w:space="0" w:color="auto"/>
              <w:left w:val="dotted" w:sz="4" w:space="0" w:color="auto"/>
              <w:bottom w:val="dotted" w:sz="4" w:space="0" w:color="auto"/>
            </w:tcBorders>
            <w:vAlign w:val="center"/>
          </w:tcPr>
          <w:p w:rsidR="002319EF" w:rsidRPr="00025B12" w:rsidRDefault="002319EF" w:rsidP="00296FE3">
            <w:pPr>
              <w:spacing w:after="0" w:line="240" w:lineRule="auto"/>
              <w:jc w:val="center"/>
              <w:rPr>
                <w:rFonts w:ascii="Verdana" w:eastAsiaTheme="minorHAnsi" w:hAnsi="Verdana" w:cstheme="minorBidi"/>
                <w:b/>
                <w:sz w:val="20"/>
                <w:szCs w:val="20"/>
              </w:rPr>
            </w:pPr>
            <w:r w:rsidRPr="00025B12">
              <w:rPr>
                <w:rFonts w:ascii="Verdana" w:eastAsiaTheme="minorHAnsi" w:hAnsi="Verdana" w:cstheme="minorBidi"/>
                <w:b/>
                <w:sz w:val="20"/>
                <w:szCs w:val="20"/>
              </w:rPr>
              <w:t>Časová řada</w:t>
            </w:r>
          </w:p>
        </w:tc>
      </w:tr>
      <w:tr w:rsidR="002319EF" w:rsidRPr="00025B12" w:rsidTr="00D131AA">
        <w:trPr>
          <w:trHeight w:val="360"/>
        </w:trPr>
        <w:tc>
          <w:tcPr>
            <w:tcW w:w="1417" w:type="dxa"/>
            <w:tcBorders>
              <w:top w:val="dotted" w:sz="4" w:space="0" w:color="auto"/>
              <w:bottom w:val="dotted" w:sz="4" w:space="0" w:color="auto"/>
              <w:right w:val="dotted" w:sz="4" w:space="0" w:color="auto"/>
            </w:tcBorders>
          </w:tcPr>
          <w:p w:rsidR="002319EF" w:rsidRPr="00025B12" w:rsidRDefault="002319EF" w:rsidP="00D131AA">
            <w:pPr>
              <w:spacing w:after="0" w:line="240" w:lineRule="auto"/>
              <w:jc w:val="center"/>
              <w:rPr>
                <w:rFonts w:ascii="Verdana" w:eastAsiaTheme="minorHAnsi" w:hAnsi="Verdana" w:cstheme="minorBidi"/>
                <w:b/>
                <w:sz w:val="20"/>
                <w:szCs w:val="20"/>
              </w:rPr>
            </w:pPr>
            <w:r w:rsidRPr="00025B12">
              <w:rPr>
                <w:rFonts w:ascii="Verdana" w:eastAsiaTheme="minorHAnsi" w:hAnsi="Verdana" w:cstheme="minorBidi"/>
                <w:b/>
                <w:sz w:val="20"/>
                <w:szCs w:val="20"/>
              </w:rPr>
              <w:t>Mez</w:t>
            </w:r>
          </w:p>
        </w:tc>
        <w:tc>
          <w:tcPr>
            <w:tcW w:w="1548" w:type="dxa"/>
            <w:tcBorders>
              <w:top w:val="dotted" w:sz="4" w:space="0" w:color="auto"/>
              <w:left w:val="dotted" w:sz="4" w:space="0" w:color="auto"/>
              <w:bottom w:val="dotted" w:sz="4" w:space="0" w:color="auto"/>
              <w:right w:val="dotted" w:sz="4" w:space="0" w:color="auto"/>
            </w:tcBorders>
            <w:vAlign w:val="center"/>
          </w:tcPr>
          <w:p w:rsidR="002319EF" w:rsidRPr="00025B12" w:rsidRDefault="00665F1D" w:rsidP="00D131AA">
            <w:pPr>
              <w:spacing w:after="0" w:line="240" w:lineRule="auto"/>
              <w:jc w:val="center"/>
              <w:rPr>
                <w:rFonts w:ascii="Verdana" w:eastAsiaTheme="minorHAnsi" w:hAnsi="Verdana" w:cstheme="minorBidi"/>
                <w:sz w:val="20"/>
                <w:szCs w:val="20"/>
              </w:rPr>
            </w:pPr>
            <w:hyperlink w:anchor="CVTS" w:history="1">
              <w:r w:rsidR="002319EF" w:rsidRPr="00025B12">
                <w:rPr>
                  <w:rStyle w:val="Hypertextovodkaz"/>
                  <w:rFonts w:ascii="Verdana" w:eastAsiaTheme="minorHAnsi" w:hAnsi="Verdana" w:cstheme="minorBidi"/>
                  <w:sz w:val="20"/>
                  <w:szCs w:val="20"/>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20"/>
                <w:szCs w:val="20"/>
              </w:rPr>
            </w:pPr>
            <w:r w:rsidRPr="00025B12">
              <w:rPr>
                <w:rFonts w:ascii="Verdana" w:eastAsiaTheme="minorHAnsi" w:hAnsi="Verdana" w:cstheme="minorBidi"/>
                <w:sz w:val="20"/>
                <w:szCs w:val="20"/>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20"/>
                <w:szCs w:val="20"/>
              </w:rPr>
            </w:pPr>
            <w:r w:rsidRPr="00025B12">
              <w:rPr>
                <w:rFonts w:ascii="Verdana" w:eastAsiaTheme="minorHAnsi" w:hAnsi="Verdana" w:cstheme="minorBidi"/>
                <w:sz w:val="20"/>
                <w:szCs w:val="20"/>
              </w:rPr>
              <w:t>5 let</w:t>
            </w:r>
          </w:p>
        </w:tc>
        <w:tc>
          <w:tcPr>
            <w:tcW w:w="2069" w:type="dxa"/>
            <w:tcBorders>
              <w:top w:val="dotted" w:sz="4" w:space="0" w:color="auto"/>
              <w:left w:val="dotted" w:sz="4" w:space="0" w:color="auto"/>
              <w:bottom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20"/>
                <w:szCs w:val="20"/>
              </w:rPr>
            </w:pPr>
            <w:r w:rsidRPr="00025B12">
              <w:rPr>
                <w:rFonts w:ascii="Verdana" w:eastAsiaTheme="minorHAnsi" w:hAnsi="Verdana" w:cstheme="minorBidi"/>
                <w:sz w:val="20"/>
                <w:szCs w:val="20"/>
              </w:rPr>
              <w:t>1999,2005,(2010)</w:t>
            </w:r>
          </w:p>
        </w:tc>
      </w:tr>
      <w:tr w:rsidR="002319EF" w:rsidRPr="00025B12" w:rsidTr="00D131AA">
        <w:trPr>
          <w:trHeight w:val="360"/>
        </w:trPr>
        <w:tc>
          <w:tcPr>
            <w:tcW w:w="1417" w:type="dxa"/>
            <w:tcBorders>
              <w:top w:val="dotted" w:sz="4" w:space="0" w:color="auto"/>
              <w:bottom w:val="dotted" w:sz="4" w:space="0" w:color="auto"/>
              <w:right w:val="dotted" w:sz="4" w:space="0" w:color="auto"/>
            </w:tcBorders>
          </w:tcPr>
          <w:p w:rsidR="002319EF" w:rsidRPr="00025B12" w:rsidRDefault="002319EF" w:rsidP="00D131AA">
            <w:pPr>
              <w:spacing w:after="0" w:line="240" w:lineRule="auto"/>
              <w:jc w:val="center"/>
              <w:rPr>
                <w:rFonts w:ascii="Verdana" w:eastAsiaTheme="minorHAnsi" w:hAnsi="Verdana" w:cstheme="minorBidi"/>
                <w:b/>
                <w:sz w:val="20"/>
                <w:szCs w:val="20"/>
              </w:rPr>
            </w:pPr>
            <w:r w:rsidRPr="00025B12">
              <w:rPr>
                <w:rFonts w:ascii="Verdana" w:eastAsiaTheme="minorHAnsi" w:hAnsi="Verdana" w:cstheme="minorBidi"/>
                <w:b/>
                <w:sz w:val="20"/>
                <w:szCs w:val="20"/>
              </w:rPr>
              <w:t>ČR</w:t>
            </w:r>
          </w:p>
        </w:tc>
        <w:tc>
          <w:tcPr>
            <w:tcW w:w="1548" w:type="dxa"/>
            <w:tcBorders>
              <w:top w:val="dotted" w:sz="4" w:space="0" w:color="auto"/>
              <w:left w:val="dotted" w:sz="4" w:space="0" w:color="auto"/>
              <w:bottom w:val="dotted" w:sz="4" w:space="0" w:color="auto"/>
              <w:right w:val="dotted" w:sz="4" w:space="0" w:color="auto"/>
            </w:tcBorders>
            <w:vAlign w:val="center"/>
          </w:tcPr>
          <w:p w:rsidR="002319EF" w:rsidRPr="00025B12" w:rsidRDefault="00665F1D" w:rsidP="00D131AA">
            <w:pPr>
              <w:spacing w:after="0" w:line="240" w:lineRule="auto"/>
              <w:jc w:val="center"/>
              <w:rPr>
                <w:rFonts w:ascii="Verdana" w:eastAsiaTheme="minorHAnsi" w:hAnsi="Verdana" w:cstheme="minorBidi"/>
                <w:sz w:val="20"/>
                <w:szCs w:val="20"/>
              </w:rPr>
            </w:pPr>
            <w:hyperlink w:anchor="CVTS" w:history="1">
              <w:r w:rsidR="002319EF" w:rsidRPr="00025B12">
                <w:rPr>
                  <w:rStyle w:val="Hypertextovodkaz"/>
                  <w:rFonts w:ascii="Verdana" w:eastAsiaTheme="minorHAnsi" w:hAnsi="Verdana" w:cstheme="minorBidi"/>
                  <w:sz w:val="20"/>
                  <w:szCs w:val="20"/>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20"/>
                <w:szCs w:val="20"/>
              </w:rPr>
            </w:pPr>
            <w:r w:rsidRPr="00025B12">
              <w:rPr>
                <w:rFonts w:ascii="Verdana" w:eastAsiaTheme="minorHAnsi" w:hAnsi="Verdana" w:cstheme="minorBidi"/>
                <w:sz w:val="20"/>
                <w:szCs w:val="20"/>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20"/>
                <w:szCs w:val="20"/>
              </w:rPr>
            </w:pPr>
            <w:r w:rsidRPr="00025B12">
              <w:rPr>
                <w:rFonts w:ascii="Verdana" w:eastAsiaTheme="minorHAnsi" w:hAnsi="Verdana" w:cstheme="minorBidi"/>
                <w:sz w:val="20"/>
                <w:szCs w:val="20"/>
              </w:rPr>
              <w:t>5 let</w:t>
            </w:r>
          </w:p>
        </w:tc>
        <w:tc>
          <w:tcPr>
            <w:tcW w:w="2069" w:type="dxa"/>
            <w:tcBorders>
              <w:top w:val="dotted" w:sz="4" w:space="0" w:color="auto"/>
              <w:left w:val="dotted" w:sz="4" w:space="0" w:color="auto"/>
              <w:bottom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20"/>
                <w:szCs w:val="20"/>
              </w:rPr>
            </w:pPr>
            <w:r w:rsidRPr="00025B12">
              <w:rPr>
                <w:rFonts w:ascii="Verdana" w:eastAsiaTheme="minorHAnsi" w:hAnsi="Verdana" w:cstheme="minorBidi"/>
                <w:sz w:val="20"/>
                <w:szCs w:val="20"/>
              </w:rPr>
              <w:t>1999,2005,(2010)</w:t>
            </w:r>
          </w:p>
        </w:tc>
      </w:tr>
      <w:tr w:rsidR="002319EF" w:rsidRPr="00025B12" w:rsidTr="00D131AA">
        <w:trPr>
          <w:trHeight w:val="360"/>
        </w:trPr>
        <w:tc>
          <w:tcPr>
            <w:tcW w:w="1417" w:type="dxa"/>
            <w:tcBorders>
              <w:top w:val="dotted" w:sz="4" w:space="0" w:color="auto"/>
              <w:right w:val="dotted" w:sz="4" w:space="0" w:color="auto"/>
            </w:tcBorders>
          </w:tcPr>
          <w:p w:rsidR="002319EF" w:rsidRPr="00025B12" w:rsidRDefault="002319EF" w:rsidP="00D131AA">
            <w:pPr>
              <w:spacing w:after="0" w:line="240" w:lineRule="auto"/>
              <w:jc w:val="center"/>
              <w:rPr>
                <w:rFonts w:ascii="Verdana" w:eastAsiaTheme="minorHAnsi" w:hAnsi="Verdana" w:cstheme="minorBidi"/>
                <w:b/>
                <w:sz w:val="20"/>
                <w:szCs w:val="20"/>
              </w:rPr>
            </w:pPr>
            <w:r w:rsidRPr="00025B12">
              <w:rPr>
                <w:rFonts w:ascii="Verdana" w:eastAsiaTheme="minorHAnsi" w:hAnsi="Verdana" w:cstheme="minorBidi"/>
                <w:b/>
                <w:sz w:val="20"/>
                <w:szCs w:val="20"/>
              </w:rPr>
              <w:t>Reg</w:t>
            </w:r>
          </w:p>
        </w:tc>
        <w:tc>
          <w:tcPr>
            <w:tcW w:w="1548" w:type="dxa"/>
            <w:tcBorders>
              <w:top w:val="dotted" w:sz="4" w:space="0" w:color="auto"/>
              <w:left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20"/>
                <w:szCs w:val="20"/>
              </w:rPr>
            </w:pPr>
            <w:r w:rsidRPr="00025B12">
              <w:rPr>
                <w:rFonts w:ascii="Verdana" w:eastAsiaTheme="minorHAnsi" w:hAnsi="Verdana" w:cstheme="minorBidi"/>
                <w:sz w:val="20"/>
                <w:szCs w:val="20"/>
              </w:rPr>
              <w:t>-</w:t>
            </w:r>
          </w:p>
        </w:tc>
        <w:tc>
          <w:tcPr>
            <w:tcW w:w="2220" w:type="dxa"/>
            <w:tcBorders>
              <w:top w:val="dotted" w:sz="4" w:space="0" w:color="auto"/>
              <w:left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20"/>
                <w:szCs w:val="20"/>
              </w:rPr>
            </w:pPr>
            <w:r w:rsidRPr="00025B12">
              <w:rPr>
                <w:rFonts w:ascii="Verdana" w:eastAsiaTheme="minorHAnsi" w:hAnsi="Verdana" w:cstheme="minorBidi"/>
                <w:sz w:val="20"/>
                <w:szCs w:val="20"/>
              </w:rPr>
              <w:t>-</w:t>
            </w:r>
          </w:p>
        </w:tc>
        <w:tc>
          <w:tcPr>
            <w:tcW w:w="2034" w:type="dxa"/>
            <w:tcBorders>
              <w:top w:val="dotted" w:sz="4" w:space="0" w:color="auto"/>
              <w:left w:val="dotted" w:sz="4" w:space="0" w:color="auto"/>
              <w:righ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20"/>
                <w:szCs w:val="20"/>
              </w:rPr>
            </w:pPr>
            <w:r w:rsidRPr="00025B12">
              <w:rPr>
                <w:rFonts w:ascii="Verdana" w:eastAsiaTheme="minorHAnsi" w:hAnsi="Verdana" w:cstheme="minorBidi"/>
                <w:sz w:val="20"/>
                <w:szCs w:val="20"/>
              </w:rPr>
              <w:t>-</w:t>
            </w:r>
          </w:p>
        </w:tc>
        <w:tc>
          <w:tcPr>
            <w:tcW w:w="2069" w:type="dxa"/>
            <w:tcBorders>
              <w:top w:val="dotted" w:sz="4" w:space="0" w:color="auto"/>
              <w:left w:val="dotted" w:sz="4" w:space="0" w:color="auto"/>
            </w:tcBorders>
            <w:vAlign w:val="center"/>
          </w:tcPr>
          <w:p w:rsidR="002319EF" w:rsidRPr="00025B12" w:rsidRDefault="002319EF" w:rsidP="00D131AA">
            <w:pPr>
              <w:spacing w:after="0" w:line="240" w:lineRule="auto"/>
              <w:jc w:val="center"/>
              <w:rPr>
                <w:rFonts w:ascii="Verdana" w:eastAsiaTheme="minorHAnsi" w:hAnsi="Verdana" w:cstheme="minorBidi"/>
                <w:sz w:val="20"/>
                <w:szCs w:val="20"/>
              </w:rPr>
            </w:pPr>
            <w:r w:rsidRPr="00025B12">
              <w:rPr>
                <w:rFonts w:ascii="Verdana" w:eastAsiaTheme="minorHAnsi" w:hAnsi="Verdana" w:cstheme="minorBidi"/>
                <w:sz w:val="20"/>
                <w:szCs w:val="20"/>
              </w:rPr>
              <w:t>-</w:t>
            </w:r>
          </w:p>
        </w:tc>
      </w:tr>
      <w:tr w:rsidR="002319EF" w:rsidRPr="00025B12" w:rsidTr="00D131AA">
        <w:trPr>
          <w:trHeight w:val="274"/>
        </w:trPr>
        <w:tc>
          <w:tcPr>
            <w:tcW w:w="9288" w:type="dxa"/>
            <w:gridSpan w:val="5"/>
            <w:shd w:val="clear" w:color="auto" w:fill="663399"/>
          </w:tcPr>
          <w:p w:rsidR="002319EF" w:rsidRPr="00025B12" w:rsidRDefault="002319EF" w:rsidP="00D131AA">
            <w:pPr>
              <w:spacing w:after="0" w:line="240" w:lineRule="auto"/>
              <w:jc w:val="center"/>
              <w:rPr>
                <w:rFonts w:ascii="Verdana" w:eastAsiaTheme="minorHAnsi" w:hAnsi="Verdana" w:cstheme="minorBidi"/>
                <w:sz w:val="20"/>
                <w:szCs w:val="20"/>
              </w:rPr>
            </w:pPr>
          </w:p>
        </w:tc>
      </w:tr>
      <w:tr w:rsidR="002319EF" w:rsidRPr="00025B12" w:rsidTr="00D131AA">
        <w:trPr>
          <w:trHeight w:val="1460"/>
        </w:trPr>
        <w:tc>
          <w:tcPr>
            <w:tcW w:w="9288" w:type="dxa"/>
            <w:gridSpan w:val="5"/>
          </w:tcPr>
          <w:p w:rsidR="002319EF" w:rsidRPr="00025B12" w:rsidRDefault="002319EF" w:rsidP="00D131AA">
            <w:pPr>
              <w:spacing w:before="60" w:after="120" w:line="240" w:lineRule="auto"/>
              <w:rPr>
                <w:rFonts w:ascii="Verdana" w:eastAsiaTheme="minorHAnsi" w:hAnsi="Verdana" w:cstheme="minorBidi"/>
                <w:b/>
                <w:sz w:val="20"/>
                <w:szCs w:val="20"/>
                <w:u w:val="single"/>
              </w:rPr>
            </w:pPr>
            <w:r w:rsidRPr="00025B12">
              <w:rPr>
                <w:rFonts w:ascii="Verdana" w:eastAsiaTheme="minorHAnsi" w:hAnsi="Verdana" w:cstheme="minorBidi"/>
                <w:b/>
                <w:sz w:val="20"/>
                <w:szCs w:val="20"/>
                <w:u w:val="single"/>
              </w:rPr>
              <w:t>Význam indikátoru:</w:t>
            </w:r>
          </w:p>
          <w:p w:rsidR="002319EF" w:rsidRPr="00025B12" w:rsidRDefault="002319EF" w:rsidP="00D131AA">
            <w:pPr>
              <w:jc w:val="both"/>
              <w:rPr>
                <w:rFonts w:ascii="Verdana" w:hAnsi="Verdana"/>
                <w:sz w:val="20"/>
                <w:szCs w:val="20"/>
              </w:rPr>
            </w:pPr>
            <w:r w:rsidRPr="00025B12">
              <w:rPr>
                <w:rFonts w:ascii="Verdana" w:hAnsi="Verdana"/>
                <w:sz w:val="20"/>
                <w:szCs w:val="20"/>
              </w:rPr>
              <w:t>Indikátor udávající počet hodin strávených na kurzech měří celkový rozsah podnikového vzdělávání. Účast na podnikovém vzdělávání může totiž zahrnovat širokou škálu kurzů od hodinového školení bezpečnosti práce po rozsáhlé dlouhodobé vzdělávací kurzy. Je proto důležité sledovat nejen procento zaměstnanců, které se vzdělává, ale i rozsah tohoto vzdělávání.</w:t>
            </w:r>
          </w:p>
        </w:tc>
      </w:tr>
      <w:tr w:rsidR="002319EF" w:rsidRPr="00025B12" w:rsidTr="00D131AA">
        <w:trPr>
          <w:trHeight w:val="992"/>
        </w:trPr>
        <w:tc>
          <w:tcPr>
            <w:tcW w:w="9288" w:type="dxa"/>
            <w:gridSpan w:val="5"/>
          </w:tcPr>
          <w:p w:rsidR="002319EF" w:rsidRPr="00025B12" w:rsidRDefault="002319EF" w:rsidP="00D131AA">
            <w:pPr>
              <w:spacing w:before="60" w:after="120" w:line="240" w:lineRule="auto"/>
              <w:rPr>
                <w:rFonts w:ascii="Verdana" w:eastAsiaTheme="minorHAnsi" w:hAnsi="Verdana" w:cstheme="minorBidi"/>
                <w:b/>
                <w:sz w:val="20"/>
                <w:szCs w:val="20"/>
                <w:u w:val="single"/>
              </w:rPr>
            </w:pPr>
            <w:r w:rsidRPr="00025B12">
              <w:rPr>
                <w:rFonts w:ascii="Verdana" w:eastAsiaTheme="minorHAnsi" w:hAnsi="Verdana" w:cstheme="minorBidi"/>
                <w:b/>
                <w:sz w:val="20"/>
                <w:szCs w:val="20"/>
                <w:u w:val="single"/>
              </w:rPr>
              <w:t>Metodika výpočtu:</w:t>
            </w:r>
          </w:p>
          <w:p w:rsidR="002319EF" w:rsidRPr="00025B12" w:rsidRDefault="002319EF" w:rsidP="001C6F04">
            <w:pPr>
              <w:jc w:val="both"/>
              <w:rPr>
                <w:rFonts w:ascii="Verdana" w:hAnsi="Verdana"/>
                <w:sz w:val="20"/>
                <w:szCs w:val="20"/>
              </w:rPr>
            </w:pPr>
            <w:r w:rsidRPr="00025B12">
              <w:rPr>
                <w:rFonts w:ascii="Verdana" w:hAnsi="Verdana"/>
                <w:sz w:val="20"/>
                <w:szCs w:val="20"/>
              </w:rPr>
              <w:t>Počet hodin strávených v podnikovém vzdělávání za období sledovaného referenčního roku je vydělen počtem celkově odpracovaných hodin (za všechny podniky), měří tedy rozsah podnikového vzdělávání v dané zemi či regionu a také určitý aspekt ochoty zaměstnavatelů investovat dlouhodobě do rozvoje lidských zdrojů.</w:t>
            </w:r>
          </w:p>
        </w:tc>
      </w:tr>
      <w:tr w:rsidR="002319EF" w:rsidRPr="00025B12" w:rsidTr="00D131AA">
        <w:trPr>
          <w:trHeight w:val="423"/>
        </w:trPr>
        <w:tc>
          <w:tcPr>
            <w:tcW w:w="9288" w:type="dxa"/>
            <w:gridSpan w:val="5"/>
          </w:tcPr>
          <w:p w:rsidR="002319EF" w:rsidRPr="00025B12" w:rsidRDefault="002319EF" w:rsidP="00D131AA">
            <w:pPr>
              <w:spacing w:before="60" w:after="120" w:line="240" w:lineRule="auto"/>
              <w:rPr>
                <w:rFonts w:ascii="Verdana" w:eastAsiaTheme="minorHAnsi" w:hAnsi="Verdana" w:cstheme="minorBidi"/>
                <w:b/>
                <w:sz w:val="20"/>
                <w:szCs w:val="20"/>
                <w:u w:val="single"/>
              </w:rPr>
            </w:pPr>
            <w:r w:rsidRPr="00025B12">
              <w:rPr>
                <w:rFonts w:ascii="Verdana" w:eastAsiaTheme="minorHAnsi" w:hAnsi="Verdana" w:cstheme="minorBidi"/>
                <w:b/>
                <w:sz w:val="20"/>
                <w:szCs w:val="20"/>
                <w:u w:val="single"/>
              </w:rPr>
              <w:t>Dostupnost dat:</w:t>
            </w:r>
          </w:p>
          <w:p w:rsidR="002319EF" w:rsidRPr="00025B12" w:rsidRDefault="002319EF" w:rsidP="00D131AA">
            <w:pPr>
              <w:jc w:val="both"/>
              <w:rPr>
                <w:rFonts w:ascii="Verdana" w:hAnsi="Verdana"/>
                <w:sz w:val="20"/>
                <w:szCs w:val="20"/>
              </w:rPr>
            </w:pPr>
            <w:r w:rsidRPr="00025B12">
              <w:rPr>
                <w:rFonts w:ascii="Verdana" w:hAnsi="Verdana"/>
                <w:sz w:val="20"/>
                <w:szCs w:val="20"/>
              </w:rPr>
              <w:t>Data pro mezinárodní srovnání jsou převzata z webových stránek Eurostatu. Regionální třídění není k dispozici.</w:t>
            </w:r>
          </w:p>
        </w:tc>
      </w:tr>
      <w:tr w:rsidR="002319EF" w:rsidRPr="00025B12" w:rsidTr="00D131AA">
        <w:trPr>
          <w:trHeight w:val="837"/>
        </w:trPr>
        <w:tc>
          <w:tcPr>
            <w:tcW w:w="9288" w:type="dxa"/>
            <w:gridSpan w:val="5"/>
          </w:tcPr>
          <w:p w:rsidR="002319EF" w:rsidRPr="00025B12" w:rsidRDefault="002319EF" w:rsidP="00D131AA">
            <w:pPr>
              <w:spacing w:before="60" w:after="120" w:line="240" w:lineRule="auto"/>
              <w:rPr>
                <w:rFonts w:ascii="Verdana" w:eastAsiaTheme="minorHAnsi" w:hAnsi="Verdana" w:cstheme="minorBidi"/>
                <w:b/>
                <w:sz w:val="20"/>
                <w:szCs w:val="20"/>
                <w:u w:val="single"/>
              </w:rPr>
            </w:pPr>
            <w:r w:rsidRPr="00025B12">
              <w:rPr>
                <w:rFonts w:ascii="Verdana" w:eastAsiaTheme="minorHAnsi" w:hAnsi="Verdana" w:cstheme="minorBidi"/>
                <w:b/>
                <w:sz w:val="20"/>
                <w:szCs w:val="20"/>
                <w:u w:val="single"/>
              </w:rPr>
              <w:t>Poznámky:</w:t>
            </w:r>
          </w:p>
          <w:p w:rsidR="002319EF" w:rsidRPr="00025B12" w:rsidRDefault="002319EF" w:rsidP="00D131AA">
            <w:pPr>
              <w:jc w:val="both"/>
              <w:rPr>
                <w:rFonts w:ascii="Verdana" w:hAnsi="Verdana"/>
                <w:sz w:val="20"/>
                <w:szCs w:val="20"/>
              </w:rPr>
            </w:pPr>
            <w:r w:rsidRPr="00025B12">
              <w:rPr>
                <w:rFonts w:ascii="Verdana" w:hAnsi="Verdana"/>
                <w:sz w:val="20"/>
                <w:szCs w:val="20"/>
              </w:rPr>
              <w:t>-</w:t>
            </w:r>
          </w:p>
        </w:tc>
      </w:tr>
    </w:tbl>
    <w:p w:rsidR="006B5EEA" w:rsidRPr="00025B12" w:rsidRDefault="006B5EEA" w:rsidP="006B5EEA">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6B5EEA" w:rsidRPr="00025B12" w:rsidTr="00801105">
        <w:trPr>
          <w:trHeight w:val="425"/>
        </w:trPr>
        <w:tc>
          <w:tcPr>
            <w:tcW w:w="1417" w:type="dxa"/>
            <w:tcBorders>
              <w:bottom w:val="single" w:sz="4" w:space="0" w:color="auto"/>
              <w:right w:val="single" w:sz="4" w:space="0" w:color="auto"/>
            </w:tcBorders>
            <w:shd w:val="clear" w:color="auto" w:fill="663399"/>
            <w:vAlign w:val="center"/>
          </w:tcPr>
          <w:p w:rsidR="006B5EEA" w:rsidRPr="00025B12" w:rsidRDefault="006B5EEA" w:rsidP="00940374">
            <w:pPr>
              <w:pStyle w:val="Kd"/>
              <w:rPr>
                <w:sz w:val="18"/>
                <w:szCs w:val="18"/>
              </w:rPr>
            </w:pPr>
            <w:r w:rsidRPr="00025B12">
              <w:rPr>
                <w:sz w:val="18"/>
                <w:szCs w:val="18"/>
              </w:rPr>
              <w:br w:type="page"/>
            </w:r>
            <w:r w:rsidRPr="00025B12">
              <w:rPr>
                <w:sz w:val="18"/>
                <w:szCs w:val="18"/>
              </w:rPr>
              <w:br w:type="page"/>
            </w:r>
            <w:bookmarkStart w:id="131" w:name="IV42"/>
            <w:r w:rsidRPr="00025B12">
              <w:rPr>
                <w:sz w:val="18"/>
                <w:szCs w:val="18"/>
              </w:rPr>
              <w:t>IV.4.</w:t>
            </w:r>
            <w:bookmarkEnd w:id="131"/>
            <w:r w:rsidR="00741F81" w:rsidRPr="00025B12">
              <w:rPr>
                <w:sz w:val="18"/>
                <w:szCs w:val="18"/>
              </w:rPr>
              <w:t>d1</w:t>
            </w:r>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6B5EEA" w:rsidRPr="00025B12" w:rsidRDefault="006B5EEA" w:rsidP="00940374">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Podíl zaměstnanců účastnících se jednotlivých typů vzdělávání, ze všech podniků</w:t>
            </w:r>
          </w:p>
        </w:tc>
      </w:tr>
      <w:tr w:rsidR="006B5EEA" w:rsidRPr="00025B12" w:rsidTr="00801105">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6B5EEA" w:rsidRPr="00025B12" w:rsidRDefault="008C4C90" w:rsidP="00940374">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71" w:type="dxa"/>
            <w:gridSpan w:val="4"/>
            <w:vMerge/>
            <w:tcBorders>
              <w:left w:val="single" w:sz="4" w:space="0" w:color="auto"/>
              <w:bottom w:val="single" w:sz="4" w:space="0" w:color="auto"/>
              <w:right w:val="single" w:sz="4" w:space="0" w:color="auto"/>
            </w:tcBorders>
            <w:vAlign w:val="center"/>
          </w:tcPr>
          <w:p w:rsidR="006B5EEA" w:rsidRPr="00025B12" w:rsidRDefault="006B5EEA" w:rsidP="00940374">
            <w:pPr>
              <w:spacing w:after="0" w:line="240" w:lineRule="auto"/>
              <w:jc w:val="center"/>
              <w:rPr>
                <w:rFonts w:ascii="Verdana" w:eastAsiaTheme="minorHAnsi" w:hAnsi="Verdana" w:cstheme="minorBidi"/>
                <w:sz w:val="18"/>
                <w:szCs w:val="18"/>
              </w:rPr>
            </w:pPr>
          </w:p>
        </w:tc>
      </w:tr>
      <w:tr w:rsidR="006B5EEA" w:rsidRPr="00025B12" w:rsidTr="00296FE3">
        <w:trPr>
          <w:trHeight w:val="360"/>
        </w:trPr>
        <w:tc>
          <w:tcPr>
            <w:tcW w:w="1417" w:type="dxa"/>
            <w:tcBorders>
              <w:top w:val="single" w:sz="4" w:space="0" w:color="auto"/>
              <w:bottom w:val="dotted" w:sz="4" w:space="0" w:color="auto"/>
              <w:right w:val="dotted" w:sz="4" w:space="0" w:color="auto"/>
            </w:tcBorders>
          </w:tcPr>
          <w:p w:rsidR="006B5EEA" w:rsidRPr="00025B12" w:rsidRDefault="006B5EEA" w:rsidP="00940374">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6B5EEA" w:rsidRPr="00025B12" w:rsidRDefault="006B5EEA"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801105" w:rsidRPr="00025B12" w:rsidTr="00801105">
        <w:trPr>
          <w:trHeight w:val="360"/>
        </w:trPr>
        <w:tc>
          <w:tcPr>
            <w:tcW w:w="1417" w:type="dxa"/>
            <w:tcBorders>
              <w:top w:val="dotted" w:sz="4" w:space="0" w:color="auto"/>
              <w:bottom w:val="dotted" w:sz="4" w:space="0" w:color="auto"/>
              <w:right w:val="dotted" w:sz="4" w:space="0" w:color="auto"/>
            </w:tcBorders>
          </w:tcPr>
          <w:p w:rsidR="00801105" w:rsidRPr="00025B12" w:rsidRDefault="00801105"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801105" w:rsidRPr="00025B12" w:rsidRDefault="00665F1D" w:rsidP="005F2F0A">
            <w:pPr>
              <w:spacing w:after="0" w:line="240" w:lineRule="auto"/>
              <w:jc w:val="center"/>
              <w:rPr>
                <w:rFonts w:ascii="Verdana" w:eastAsiaTheme="minorHAnsi" w:hAnsi="Verdana" w:cstheme="minorBidi"/>
                <w:sz w:val="18"/>
                <w:szCs w:val="18"/>
              </w:rPr>
            </w:pPr>
            <w:hyperlink w:anchor="CVTS" w:history="1">
              <w:r w:rsidR="00801105"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801105" w:rsidRPr="00025B12" w:rsidTr="00801105">
        <w:trPr>
          <w:trHeight w:val="360"/>
        </w:trPr>
        <w:tc>
          <w:tcPr>
            <w:tcW w:w="1417" w:type="dxa"/>
            <w:tcBorders>
              <w:top w:val="dotted" w:sz="4" w:space="0" w:color="auto"/>
              <w:bottom w:val="dotted" w:sz="4" w:space="0" w:color="auto"/>
              <w:right w:val="dotted" w:sz="4" w:space="0" w:color="auto"/>
            </w:tcBorders>
          </w:tcPr>
          <w:p w:rsidR="00801105" w:rsidRPr="00025B12" w:rsidRDefault="00801105"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801105" w:rsidRPr="00025B12" w:rsidRDefault="00665F1D" w:rsidP="005F2F0A">
            <w:pPr>
              <w:spacing w:after="0" w:line="240" w:lineRule="auto"/>
              <w:jc w:val="center"/>
              <w:rPr>
                <w:rFonts w:ascii="Verdana" w:eastAsiaTheme="minorHAnsi" w:hAnsi="Verdana" w:cstheme="minorBidi"/>
                <w:sz w:val="18"/>
                <w:szCs w:val="18"/>
              </w:rPr>
            </w:pPr>
            <w:hyperlink w:anchor="CVTS" w:history="1">
              <w:r w:rsidR="00801105"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801105" w:rsidRPr="00025B12" w:rsidTr="00801105">
        <w:trPr>
          <w:trHeight w:val="360"/>
        </w:trPr>
        <w:tc>
          <w:tcPr>
            <w:tcW w:w="1417" w:type="dxa"/>
            <w:tcBorders>
              <w:top w:val="dotted" w:sz="4" w:space="0" w:color="auto"/>
              <w:right w:val="dotted" w:sz="4" w:space="0" w:color="auto"/>
            </w:tcBorders>
          </w:tcPr>
          <w:p w:rsidR="00801105" w:rsidRPr="00025B12" w:rsidRDefault="00801105"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801105" w:rsidRPr="00025B12" w:rsidRDefault="00801105" w:rsidP="005F2F0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20" w:type="dxa"/>
            <w:tcBorders>
              <w:top w:val="dotted" w:sz="4" w:space="0" w:color="auto"/>
              <w:left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4" w:type="dxa"/>
            <w:tcBorders>
              <w:top w:val="dotted" w:sz="4" w:space="0" w:color="auto"/>
              <w:left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6B5EEA" w:rsidRPr="00025B12" w:rsidTr="00801105">
        <w:trPr>
          <w:trHeight w:val="274"/>
        </w:trPr>
        <w:tc>
          <w:tcPr>
            <w:tcW w:w="9288" w:type="dxa"/>
            <w:gridSpan w:val="5"/>
            <w:shd w:val="clear" w:color="auto" w:fill="663399"/>
          </w:tcPr>
          <w:p w:rsidR="006B5EEA" w:rsidRPr="00025B12" w:rsidRDefault="006B5EEA" w:rsidP="00940374">
            <w:pPr>
              <w:spacing w:after="0" w:line="240" w:lineRule="auto"/>
              <w:jc w:val="center"/>
              <w:rPr>
                <w:rFonts w:ascii="Verdana" w:eastAsiaTheme="minorHAnsi" w:hAnsi="Verdana" w:cstheme="minorBidi"/>
                <w:sz w:val="18"/>
                <w:szCs w:val="18"/>
              </w:rPr>
            </w:pPr>
          </w:p>
        </w:tc>
      </w:tr>
      <w:tr w:rsidR="006B5EEA" w:rsidRPr="00025B12" w:rsidTr="001C6F04">
        <w:trPr>
          <w:trHeight w:val="2496"/>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6B5EEA" w:rsidRPr="00025B12" w:rsidRDefault="006B5EEA" w:rsidP="00940374">
            <w:pPr>
              <w:jc w:val="both"/>
              <w:rPr>
                <w:rFonts w:ascii="Verdana" w:hAnsi="Verdana"/>
                <w:sz w:val="18"/>
                <w:szCs w:val="18"/>
              </w:rPr>
            </w:pPr>
            <w:r w:rsidRPr="00025B12">
              <w:rPr>
                <w:rFonts w:ascii="Verdana" w:hAnsi="Verdana"/>
                <w:sz w:val="18"/>
                <w:szCs w:val="18"/>
              </w:rPr>
              <w:t>Podíl zaměstnanců účastnících se jednotlivých forem dalšího vzdělávání informuje o míře účasti na podnikovém vzdělávání z pohledu jednotlivce – zaměstnance. Údaje mohou poskytovat odlišný obrázek než podíl podniků, neboť například velké podniky vzdělávají častěji než malé a vzdělávání se tak dotkne většího podílu zaměstnanců než podniků.</w:t>
            </w:r>
          </w:p>
          <w:p w:rsidR="006B5EEA" w:rsidRPr="00025B12" w:rsidRDefault="006B5EEA" w:rsidP="007E37F6">
            <w:pPr>
              <w:jc w:val="both"/>
              <w:rPr>
                <w:rFonts w:ascii="Verdana" w:hAnsi="Verdana"/>
                <w:sz w:val="18"/>
                <w:szCs w:val="18"/>
              </w:rPr>
            </w:pPr>
            <w:r w:rsidRPr="00025B12">
              <w:rPr>
                <w:rFonts w:ascii="Verdana" w:hAnsi="Verdana"/>
                <w:sz w:val="18"/>
                <w:szCs w:val="18"/>
              </w:rPr>
              <w:t xml:space="preserve">Sledovány jsou různé formy vzdělávání, a to jak kurzy, tak </w:t>
            </w:r>
            <w:r w:rsidR="007E37F6" w:rsidRPr="00025B12">
              <w:rPr>
                <w:rFonts w:ascii="Verdana" w:hAnsi="Verdana"/>
                <w:sz w:val="18"/>
                <w:szCs w:val="18"/>
              </w:rPr>
              <w:t xml:space="preserve">ostatní </w:t>
            </w:r>
            <w:r w:rsidRPr="00025B12">
              <w:rPr>
                <w:rFonts w:ascii="Verdana" w:hAnsi="Verdana"/>
                <w:sz w:val="18"/>
                <w:szCs w:val="18"/>
              </w:rPr>
              <w:t>formy neformálního vzdělávání (rotace pracovních míst, školení on-the-job, studijní kroužky, sebevzdělávání a účast na konferencích).</w:t>
            </w:r>
            <w:r w:rsidR="007E37F6" w:rsidRPr="00025B12">
              <w:rPr>
                <w:rFonts w:ascii="Verdana" w:hAnsi="Verdana"/>
                <w:sz w:val="18"/>
                <w:szCs w:val="18"/>
              </w:rPr>
              <w:t xml:space="preserve"> </w:t>
            </w:r>
          </w:p>
        </w:tc>
      </w:tr>
      <w:tr w:rsidR="006B5EEA" w:rsidRPr="00025B12" w:rsidTr="00801105">
        <w:trPr>
          <w:trHeight w:val="992"/>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1C6F04" w:rsidRPr="00025B12" w:rsidRDefault="006B5EEA" w:rsidP="00940374">
            <w:pPr>
              <w:jc w:val="both"/>
              <w:rPr>
                <w:rFonts w:ascii="Verdana" w:hAnsi="Verdana"/>
                <w:sz w:val="18"/>
                <w:szCs w:val="18"/>
              </w:rPr>
            </w:pPr>
            <w:r w:rsidRPr="00025B12">
              <w:rPr>
                <w:rFonts w:ascii="Verdana" w:hAnsi="Verdana"/>
                <w:sz w:val="18"/>
                <w:szCs w:val="18"/>
              </w:rPr>
              <w:t>Indikátor je vypočítán jako podíl zaměstnanců, kteří se účastní dané formy vzdělávání, na počtu zaměstnanců všech podniků zahrnutých do šetření.</w:t>
            </w:r>
            <w:r w:rsidR="007E37F6" w:rsidRPr="00025B12">
              <w:rPr>
                <w:rFonts w:ascii="Verdana" w:hAnsi="Verdana"/>
                <w:sz w:val="18"/>
                <w:szCs w:val="18"/>
              </w:rPr>
              <w:t xml:space="preserve"> </w:t>
            </w:r>
          </w:p>
          <w:p w:rsidR="006B5EEA" w:rsidRPr="00025B12" w:rsidRDefault="001C6F04" w:rsidP="001C6F04">
            <w:pPr>
              <w:jc w:val="both"/>
              <w:rPr>
                <w:rFonts w:ascii="Verdana" w:hAnsi="Verdana"/>
                <w:sz w:val="18"/>
                <w:szCs w:val="18"/>
              </w:rPr>
            </w:pPr>
            <w:r w:rsidRPr="00025B12">
              <w:rPr>
                <w:rFonts w:ascii="Verdana" w:hAnsi="Verdana"/>
                <w:sz w:val="18"/>
                <w:szCs w:val="18"/>
              </w:rPr>
              <w:t>K dispozici jsou i</w:t>
            </w:r>
            <w:r w:rsidR="007E37F6" w:rsidRPr="00025B12">
              <w:rPr>
                <w:rFonts w:ascii="Verdana" w:hAnsi="Verdana"/>
                <w:sz w:val="18"/>
                <w:szCs w:val="18"/>
              </w:rPr>
              <w:t>nformace o počtech účastníků jednotlivých forem, nemůžeme však spočítat jejich celkový souhrn, neboť účastníci jednotlivých forem se mohou překrývat.</w:t>
            </w:r>
            <w:r w:rsidRPr="00025B12">
              <w:rPr>
                <w:rFonts w:ascii="Verdana" w:hAnsi="Verdana"/>
                <w:sz w:val="18"/>
                <w:szCs w:val="18"/>
              </w:rPr>
              <w:t xml:space="preserve"> Nelze tedy např. spočítat počet účastníků ostatních forem vzdělávání vyjma kurzů v souhrnu.</w:t>
            </w:r>
          </w:p>
        </w:tc>
      </w:tr>
      <w:tr w:rsidR="006B5EEA" w:rsidRPr="00025B12" w:rsidTr="00801105">
        <w:trPr>
          <w:trHeight w:val="423"/>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6B5EEA" w:rsidRPr="00025B12" w:rsidRDefault="006B5EEA" w:rsidP="00940374">
            <w:pPr>
              <w:jc w:val="both"/>
              <w:rPr>
                <w:rFonts w:ascii="Verdana" w:hAnsi="Verdana"/>
                <w:sz w:val="18"/>
                <w:szCs w:val="18"/>
              </w:rPr>
            </w:pPr>
            <w:r w:rsidRPr="00025B12">
              <w:rPr>
                <w:rFonts w:ascii="Verdana" w:hAnsi="Verdana"/>
                <w:sz w:val="18"/>
                <w:szCs w:val="18"/>
              </w:rPr>
              <w:t>Data pro mezinárodní srovnání jsou převzata z webových stránek Eurostatu. Regionální třídění není k dispozici.</w:t>
            </w:r>
          </w:p>
        </w:tc>
      </w:tr>
      <w:tr w:rsidR="006B5EEA" w:rsidRPr="00025B12" w:rsidTr="00801105">
        <w:trPr>
          <w:trHeight w:val="837"/>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6B5EEA" w:rsidRPr="00025B12" w:rsidRDefault="006B5EEA" w:rsidP="00940374">
            <w:pPr>
              <w:jc w:val="both"/>
              <w:rPr>
                <w:rFonts w:ascii="Verdana" w:hAnsi="Verdana"/>
                <w:sz w:val="18"/>
                <w:szCs w:val="18"/>
              </w:rPr>
            </w:pPr>
            <w:r w:rsidRPr="00025B12">
              <w:rPr>
                <w:rFonts w:ascii="Verdana" w:hAnsi="Verdana"/>
                <w:sz w:val="18"/>
                <w:szCs w:val="18"/>
              </w:rPr>
              <w:t>-</w:t>
            </w:r>
          </w:p>
        </w:tc>
      </w:tr>
    </w:tbl>
    <w:p w:rsidR="006B5EEA" w:rsidRPr="00025B12" w:rsidRDefault="006B5EEA" w:rsidP="006B5EEA"/>
    <w:p w:rsidR="006B5EEA" w:rsidRPr="00025B12" w:rsidRDefault="006B5EEA" w:rsidP="006B5EEA">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6B5EEA" w:rsidRPr="00025B12" w:rsidTr="00801105">
        <w:trPr>
          <w:trHeight w:val="425"/>
        </w:trPr>
        <w:tc>
          <w:tcPr>
            <w:tcW w:w="1417" w:type="dxa"/>
            <w:tcBorders>
              <w:bottom w:val="single" w:sz="4" w:space="0" w:color="auto"/>
              <w:right w:val="single" w:sz="4" w:space="0" w:color="auto"/>
            </w:tcBorders>
            <w:shd w:val="clear" w:color="auto" w:fill="663399"/>
            <w:vAlign w:val="center"/>
          </w:tcPr>
          <w:p w:rsidR="006B5EEA" w:rsidRPr="00025B12" w:rsidRDefault="006B5EEA" w:rsidP="00940374">
            <w:pPr>
              <w:pStyle w:val="Kd"/>
              <w:rPr>
                <w:sz w:val="18"/>
                <w:szCs w:val="18"/>
              </w:rPr>
            </w:pPr>
            <w:r w:rsidRPr="00025B12">
              <w:rPr>
                <w:sz w:val="18"/>
                <w:szCs w:val="18"/>
              </w:rPr>
              <w:br w:type="page"/>
            </w:r>
            <w:r w:rsidRPr="00025B12">
              <w:rPr>
                <w:sz w:val="18"/>
                <w:szCs w:val="18"/>
              </w:rPr>
              <w:br w:type="page"/>
            </w:r>
            <w:bookmarkStart w:id="132" w:name="IV43"/>
            <w:r w:rsidRPr="00025B12">
              <w:rPr>
                <w:sz w:val="18"/>
                <w:szCs w:val="18"/>
              </w:rPr>
              <w:t>IV.4.</w:t>
            </w:r>
            <w:bookmarkEnd w:id="132"/>
            <w:r w:rsidR="00741F81" w:rsidRPr="00025B12">
              <w:rPr>
                <w:sz w:val="18"/>
                <w:szCs w:val="18"/>
              </w:rPr>
              <w:t>d2</w:t>
            </w:r>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6B5EEA" w:rsidRPr="00025B12" w:rsidRDefault="006B5EEA" w:rsidP="00940374">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Podíl zaměstnanců účastnících se jednotlivých typů vzdělávání, ze vzdělávajících podniků</w:t>
            </w:r>
          </w:p>
        </w:tc>
      </w:tr>
      <w:tr w:rsidR="006B5EEA" w:rsidRPr="00025B12" w:rsidTr="00801105">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6B5EEA" w:rsidRPr="00025B12" w:rsidRDefault="008C4C90" w:rsidP="00940374">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71" w:type="dxa"/>
            <w:gridSpan w:val="4"/>
            <w:vMerge/>
            <w:tcBorders>
              <w:left w:val="single" w:sz="4" w:space="0" w:color="auto"/>
              <w:bottom w:val="single" w:sz="4" w:space="0" w:color="auto"/>
              <w:right w:val="single" w:sz="4" w:space="0" w:color="auto"/>
            </w:tcBorders>
            <w:vAlign w:val="center"/>
          </w:tcPr>
          <w:p w:rsidR="006B5EEA" w:rsidRPr="00025B12" w:rsidRDefault="006B5EEA" w:rsidP="00940374">
            <w:pPr>
              <w:spacing w:after="0" w:line="240" w:lineRule="auto"/>
              <w:jc w:val="center"/>
              <w:rPr>
                <w:rFonts w:ascii="Verdana" w:eastAsiaTheme="minorHAnsi" w:hAnsi="Verdana" w:cstheme="minorBidi"/>
                <w:sz w:val="18"/>
                <w:szCs w:val="18"/>
              </w:rPr>
            </w:pPr>
          </w:p>
        </w:tc>
      </w:tr>
      <w:tr w:rsidR="006B5EEA" w:rsidRPr="00025B12" w:rsidTr="00296FE3">
        <w:trPr>
          <w:trHeight w:val="360"/>
        </w:trPr>
        <w:tc>
          <w:tcPr>
            <w:tcW w:w="1417" w:type="dxa"/>
            <w:tcBorders>
              <w:top w:val="single" w:sz="4" w:space="0" w:color="auto"/>
              <w:bottom w:val="dotted" w:sz="4" w:space="0" w:color="auto"/>
              <w:right w:val="dotted" w:sz="4" w:space="0" w:color="auto"/>
            </w:tcBorders>
          </w:tcPr>
          <w:p w:rsidR="006B5EEA" w:rsidRPr="00025B12" w:rsidRDefault="006B5EEA" w:rsidP="00940374">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6B5EEA" w:rsidRPr="00025B12" w:rsidRDefault="006B5EEA"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801105" w:rsidRPr="00025B12" w:rsidTr="00801105">
        <w:trPr>
          <w:trHeight w:val="360"/>
        </w:trPr>
        <w:tc>
          <w:tcPr>
            <w:tcW w:w="1417" w:type="dxa"/>
            <w:tcBorders>
              <w:top w:val="dotted" w:sz="4" w:space="0" w:color="auto"/>
              <w:bottom w:val="dotted" w:sz="4" w:space="0" w:color="auto"/>
              <w:right w:val="dotted" w:sz="4" w:space="0" w:color="auto"/>
            </w:tcBorders>
          </w:tcPr>
          <w:p w:rsidR="00801105" w:rsidRPr="00025B12" w:rsidRDefault="00801105"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801105" w:rsidRPr="00025B12" w:rsidRDefault="00665F1D" w:rsidP="005F2F0A">
            <w:pPr>
              <w:spacing w:after="0" w:line="240" w:lineRule="auto"/>
              <w:jc w:val="center"/>
              <w:rPr>
                <w:rFonts w:ascii="Verdana" w:eastAsiaTheme="minorHAnsi" w:hAnsi="Verdana" w:cstheme="minorBidi"/>
                <w:sz w:val="18"/>
                <w:szCs w:val="18"/>
              </w:rPr>
            </w:pPr>
            <w:hyperlink w:anchor="CVTS" w:history="1">
              <w:r w:rsidR="00801105"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801105" w:rsidRPr="00025B12" w:rsidTr="00801105">
        <w:trPr>
          <w:trHeight w:val="360"/>
        </w:trPr>
        <w:tc>
          <w:tcPr>
            <w:tcW w:w="1417" w:type="dxa"/>
            <w:tcBorders>
              <w:top w:val="dotted" w:sz="4" w:space="0" w:color="auto"/>
              <w:bottom w:val="dotted" w:sz="4" w:space="0" w:color="auto"/>
              <w:right w:val="dotted" w:sz="4" w:space="0" w:color="auto"/>
            </w:tcBorders>
          </w:tcPr>
          <w:p w:rsidR="00801105" w:rsidRPr="00025B12" w:rsidRDefault="00801105"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801105" w:rsidRPr="00025B12" w:rsidRDefault="00665F1D" w:rsidP="005F2F0A">
            <w:pPr>
              <w:spacing w:after="0" w:line="240" w:lineRule="auto"/>
              <w:jc w:val="center"/>
              <w:rPr>
                <w:rFonts w:ascii="Verdana" w:eastAsiaTheme="minorHAnsi" w:hAnsi="Verdana" w:cstheme="minorBidi"/>
                <w:sz w:val="18"/>
                <w:szCs w:val="18"/>
              </w:rPr>
            </w:pPr>
            <w:hyperlink w:anchor="CVTS" w:history="1">
              <w:r w:rsidR="00801105"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801105" w:rsidRPr="00025B12" w:rsidTr="00801105">
        <w:trPr>
          <w:trHeight w:val="360"/>
        </w:trPr>
        <w:tc>
          <w:tcPr>
            <w:tcW w:w="1417" w:type="dxa"/>
            <w:tcBorders>
              <w:top w:val="dotted" w:sz="4" w:space="0" w:color="auto"/>
              <w:right w:val="dotted" w:sz="4" w:space="0" w:color="auto"/>
            </w:tcBorders>
          </w:tcPr>
          <w:p w:rsidR="00801105" w:rsidRPr="00025B12" w:rsidRDefault="00801105"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801105" w:rsidRPr="00025B12" w:rsidRDefault="00801105" w:rsidP="005F2F0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20" w:type="dxa"/>
            <w:tcBorders>
              <w:top w:val="dotted" w:sz="4" w:space="0" w:color="auto"/>
              <w:left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4" w:type="dxa"/>
            <w:tcBorders>
              <w:top w:val="dotted" w:sz="4" w:space="0" w:color="auto"/>
              <w:left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6B5EEA" w:rsidRPr="00025B12" w:rsidTr="00801105">
        <w:trPr>
          <w:trHeight w:val="274"/>
        </w:trPr>
        <w:tc>
          <w:tcPr>
            <w:tcW w:w="9288" w:type="dxa"/>
            <w:gridSpan w:val="5"/>
            <w:shd w:val="clear" w:color="auto" w:fill="663399"/>
          </w:tcPr>
          <w:p w:rsidR="006B5EEA" w:rsidRPr="00025B12" w:rsidRDefault="006B5EEA" w:rsidP="00940374">
            <w:pPr>
              <w:spacing w:after="0" w:line="240" w:lineRule="auto"/>
              <w:jc w:val="center"/>
              <w:rPr>
                <w:rFonts w:ascii="Verdana" w:eastAsiaTheme="minorHAnsi" w:hAnsi="Verdana" w:cstheme="minorBidi"/>
                <w:sz w:val="18"/>
                <w:szCs w:val="18"/>
              </w:rPr>
            </w:pPr>
          </w:p>
        </w:tc>
      </w:tr>
      <w:tr w:rsidR="006B5EEA" w:rsidRPr="00025B12" w:rsidTr="00801105">
        <w:trPr>
          <w:trHeight w:val="1460"/>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6B5EEA" w:rsidRPr="00025B12" w:rsidRDefault="008A5BD0" w:rsidP="00940374">
            <w:pPr>
              <w:jc w:val="both"/>
              <w:rPr>
                <w:rFonts w:ascii="Verdana" w:hAnsi="Verdana"/>
                <w:sz w:val="18"/>
                <w:szCs w:val="18"/>
              </w:rPr>
            </w:pPr>
            <w:r w:rsidRPr="00025B12">
              <w:rPr>
                <w:rFonts w:ascii="Verdana" w:hAnsi="Verdana"/>
                <w:sz w:val="18"/>
                <w:szCs w:val="18"/>
              </w:rPr>
              <w:t>Zatímco indikátor IV.4.d1</w:t>
            </w:r>
            <w:r w:rsidR="006B5EEA" w:rsidRPr="00025B12">
              <w:rPr>
                <w:rFonts w:ascii="Verdana" w:hAnsi="Verdana"/>
                <w:sz w:val="18"/>
                <w:szCs w:val="18"/>
              </w:rPr>
              <w:t xml:space="preserve"> informuje o celkové rozsahu podnikového vzdělává</w:t>
            </w:r>
            <w:r w:rsidRPr="00025B12">
              <w:rPr>
                <w:rFonts w:ascii="Verdana" w:hAnsi="Verdana"/>
                <w:sz w:val="18"/>
                <w:szCs w:val="18"/>
              </w:rPr>
              <w:t>ní v dané zemi, indikátor IV.4.d2</w:t>
            </w:r>
            <w:r w:rsidR="006B5EEA" w:rsidRPr="00025B12">
              <w:rPr>
                <w:rFonts w:ascii="Verdana" w:hAnsi="Verdana"/>
                <w:sz w:val="18"/>
                <w:szCs w:val="18"/>
              </w:rPr>
              <w:t xml:space="preserve"> informuje spíše o míře rovného přístupu zaměstnanců vzdělávajících podniků k podnikovému vzdělávání.</w:t>
            </w:r>
          </w:p>
        </w:tc>
      </w:tr>
      <w:tr w:rsidR="006B5EEA" w:rsidRPr="00025B12" w:rsidTr="00801105">
        <w:trPr>
          <w:trHeight w:val="992"/>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6B5EEA" w:rsidRPr="00025B12" w:rsidRDefault="006B5EEA" w:rsidP="00940374">
            <w:pPr>
              <w:jc w:val="both"/>
              <w:rPr>
                <w:rFonts w:ascii="Verdana" w:hAnsi="Verdana"/>
                <w:sz w:val="18"/>
                <w:szCs w:val="18"/>
              </w:rPr>
            </w:pPr>
            <w:r w:rsidRPr="00025B12">
              <w:rPr>
                <w:rFonts w:ascii="Verdana" w:hAnsi="Verdana"/>
                <w:sz w:val="18"/>
                <w:szCs w:val="18"/>
              </w:rPr>
              <w:t>Tento indikátor je vypočítán obdobně jako indikátor IV</w:t>
            </w:r>
            <w:r w:rsidR="008A5BD0" w:rsidRPr="00025B12">
              <w:rPr>
                <w:rFonts w:ascii="Verdana" w:hAnsi="Verdana"/>
                <w:sz w:val="18"/>
                <w:szCs w:val="18"/>
              </w:rPr>
              <w:t>.4.d1</w:t>
            </w:r>
            <w:r w:rsidRPr="00025B12">
              <w:rPr>
                <w:rFonts w:ascii="Verdana" w:hAnsi="Verdana"/>
                <w:sz w:val="18"/>
                <w:szCs w:val="18"/>
              </w:rPr>
              <w:t>. Při jeho výpočtu je však počet zaměstnanců účastnících se jednotlivých forem podnikového vzdělávání dělen pouze počtem zaměstnanců těch podniků, které nějaké vzdělávání poskytují.</w:t>
            </w:r>
            <w:r w:rsidR="00E41BC7" w:rsidRPr="00025B12">
              <w:rPr>
                <w:rFonts w:ascii="Verdana" w:hAnsi="Verdana"/>
                <w:sz w:val="18"/>
                <w:szCs w:val="18"/>
              </w:rPr>
              <w:t xml:space="preserve"> Máme informace o počtech účastníků jednotlivých forem, nemůžeme však spočítat jejich celkový souhrn, neboť účastníci jednotlivých forem se mohou překrývat.</w:t>
            </w:r>
          </w:p>
        </w:tc>
      </w:tr>
      <w:tr w:rsidR="006B5EEA" w:rsidRPr="00025B12" w:rsidTr="00801105">
        <w:trPr>
          <w:trHeight w:val="423"/>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6B5EEA" w:rsidRPr="00025B12" w:rsidRDefault="006B5EEA" w:rsidP="00940374">
            <w:pPr>
              <w:jc w:val="both"/>
              <w:rPr>
                <w:rFonts w:ascii="Verdana" w:hAnsi="Verdana"/>
                <w:sz w:val="18"/>
                <w:szCs w:val="18"/>
              </w:rPr>
            </w:pPr>
            <w:r w:rsidRPr="00025B12">
              <w:rPr>
                <w:rFonts w:ascii="Verdana" w:hAnsi="Verdana"/>
                <w:sz w:val="18"/>
                <w:szCs w:val="18"/>
              </w:rPr>
              <w:t>Data pro mezinárodní srovnání jsou převzata z webových stránek Eurostatu. Regionální třídění není k dispozici.</w:t>
            </w:r>
          </w:p>
        </w:tc>
      </w:tr>
      <w:tr w:rsidR="006B5EEA" w:rsidRPr="00025B12" w:rsidTr="00801105">
        <w:trPr>
          <w:trHeight w:val="837"/>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6B5EEA" w:rsidRPr="00025B12" w:rsidRDefault="006B5EEA" w:rsidP="00940374">
            <w:pPr>
              <w:jc w:val="both"/>
              <w:rPr>
                <w:rFonts w:ascii="Verdana" w:hAnsi="Verdana"/>
                <w:sz w:val="18"/>
                <w:szCs w:val="18"/>
              </w:rPr>
            </w:pPr>
            <w:r w:rsidRPr="00025B12">
              <w:rPr>
                <w:rFonts w:ascii="Verdana" w:hAnsi="Verdana"/>
                <w:sz w:val="18"/>
                <w:szCs w:val="18"/>
              </w:rPr>
              <w:t>-</w:t>
            </w:r>
          </w:p>
        </w:tc>
      </w:tr>
    </w:tbl>
    <w:p w:rsidR="006B5EEA" w:rsidRPr="00025B12" w:rsidRDefault="006B5EEA" w:rsidP="006B5EEA"/>
    <w:p w:rsidR="006B5EEA" w:rsidRPr="00025B12" w:rsidRDefault="006B5EEA" w:rsidP="006B5EEA">
      <w:pPr>
        <w:rPr>
          <w:rFonts w:ascii="Verdana" w:hAnsi="Verdana"/>
          <w:sz w:val="18"/>
          <w:szCs w:val="18"/>
        </w:rPr>
      </w:pPr>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6B5EEA" w:rsidRPr="00025B12" w:rsidTr="00801105">
        <w:trPr>
          <w:trHeight w:val="425"/>
        </w:trPr>
        <w:tc>
          <w:tcPr>
            <w:tcW w:w="1417" w:type="dxa"/>
            <w:tcBorders>
              <w:bottom w:val="single" w:sz="4" w:space="0" w:color="auto"/>
              <w:right w:val="single" w:sz="4" w:space="0" w:color="auto"/>
            </w:tcBorders>
            <w:shd w:val="clear" w:color="auto" w:fill="663399"/>
            <w:vAlign w:val="center"/>
          </w:tcPr>
          <w:p w:rsidR="006B5EEA" w:rsidRPr="00025B12" w:rsidRDefault="006B5EEA" w:rsidP="00940374">
            <w:pPr>
              <w:pStyle w:val="Kd"/>
              <w:rPr>
                <w:sz w:val="18"/>
                <w:szCs w:val="18"/>
              </w:rPr>
            </w:pPr>
            <w:r w:rsidRPr="00025B12">
              <w:rPr>
                <w:sz w:val="18"/>
                <w:szCs w:val="18"/>
              </w:rPr>
              <w:br w:type="page"/>
            </w:r>
            <w:r w:rsidRPr="00025B12">
              <w:rPr>
                <w:sz w:val="18"/>
                <w:szCs w:val="18"/>
              </w:rPr>
              <w:br w:type="page"/>
            </w:r>
            <w:bookmarkStart w:id="133" w:name="IV46"/>
            <w:r w:rsidRPr="00025B12">
              <w:rPr>
                <w:sz w:val="18"/>
                <w:szCs w:val="18"/>
              </w:rPr>
              <w:t>IV.4.</w:t>
            </w:r>
            <w:bookmarkEnd w:id="133"/>
            <w:r w:rsidR="00741F81" w:rsidRPr="00025B12">
              <w:rPr>
                <w:sz w:val="18"/>
                <w:szCs w:val="18"/>
              </w:rPr>
              <w:t>d3</w:t>
            </w:r>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6B5EEA" w:rsidRPr="00025B12" w:rsidRDefault="006B5EEA" w:rsidP="00801105">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Počet hodin strávených na kurzech</w:t>
            </w:r>
            <w:r w:rsidR="00363CDC" w:rsidRPr="00025B12">
              <w:rPr>
                <w:rFonts w:ascii="Verdana" w:eastAsiaTheme="minorHAnsi" w:hAnsi="Verdana" w:cstheme="minorBidi"/>
                <w:b/>
                <w:color w:val="FFFFFF" w:themeColor="background1"/>
              </w:rPr>
              <w:t xml:space="preserve"> dalšího vzdělávání</w:t>
            </w:r>
            <w:r w:rsidRPr="00025B12">
              <w:rPr>
                <w:rFonts w:ascii="Verdana" w:eastAsiaTheme="minorHAnsi" w:hAnsi="Verdana" w:cstheme="minorBidi"/>
                <w:b/>
                <w:color w:val="FFFFFF" w:themeColor="background1"/>
              </w:rPr>
              <w:t xml:space="preserve"> na </w:t>
            </w:r>
            <w:r w:rsidR="00801105" w:rsidRPr="00025B12">
              <w:rPr>
                <w:rFonts w:ascii="Verdana" w:eastAsiaTheme="minorHAnsi" w:hAnsi="Verdana" w:cstheme="minorBidi"/>
                <w:b/>
                <w:color w:val="FFFFFF" w:themeColor="background1"/>
              </w:rPr>
              <w:t>účastníka</w:t>
            </w:r>
          </w:p>
        </w:tc>
      </w:tr>
      <w:tr w:rsidR="006B5EEA" w:rsidRPr="00025B12" w:rsidTr="00801105">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6B5EEA" w:rsidRPr="00025B12" w:rsidRDefault="005C6DC1" w:rsidP="00940374">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71" w:type="dxa"/>
            <w:gridSpan w:val="4"/>
            <w:vMerge/>
            <w:tcBorders>
              <w:left w:val="single" w:sz="4" w:space="0" w:color="auto"/>
              <w:bottom w:val="single" w:sz="4" w:space="0" w:color="auto"/>
              <w:right w:val="single" w:sz="4" w:space="0" w:color="auto"/>
            </w:tcBorders>
            <w:vAlign w:val="center"/>
          </w:tcPr>
          <w:p w:rsidR="006B5EEA" w:rsidRPr="00025B12" w:rsidRDefault="006B5EEA" w:rsidP="00940374">
            <w:pPr>
              <w:spacing w:after="0" w:line="240" w:lineRule="auto"/>
              <w:jc w:val="center"/>
              <w:rPr>
                <w:rFonts w:ascii="Verdana" w:eastAsiaTheme="minorHAnsi" w:hAnsi="Verdana" w:cstheme="minorBidi"/>
                <w:sz w:val="18"/>
                <w:szCs w:val="18"/>
              </w:rPr>
            </w:pPr>
          </w:p>
        </w:tc>
      </w:tr>
      <w:tr w:rsidR="006B5EEA" w:rsidRPr="00025B12" w:rsidTr="00296FE3">
        <w:trPr>
          <w:trHeight w:val="360"/>
        </w:trPr>
        <w:tc>
          <w:tcPr>
            <w:tcW w:w="1417" w:type="dxa"/>
            <w:tcBorders>
              <w:top w:val="single" w:sz="4" w:space="0" w:color="auto"/>
              <w:bottom w:val="dotted" w:sz="4" w:space="0" w:color="auto"/>
              <w:right w:val="dotted" w:sz="4" w:space="0" w:color="auto"/>
            </w:tcBorders>
          </w:tcPr>
          <w:p w:rsidR="006B5EEA" w:rsidRPr="00025B12" w:rsidRDefault="006B5EEA" w:rsidP="00940374">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6B5EEA" w:rsidRPr="00025B12" w:rsidRDefault="006B5EEA"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801105" w:rsidRPr="00025B12" w:rsidTr="00801105">
        <w:trPr>
          <w:trHeight w:val="360"/>
        </w:trPr>
        <w:tc>
          <w:tcPr>
            <w:tcW w:w="1417" w:type="dxa"/>
            <w:tcBorders>
              <w:top w:val="dotted" w:sz="4" w:space="0" w:color="auto"/>
              <w:bottom w:val="dotted" w:sz="4" w:space="0" w:color="auto"/>
              <w:right w:val="dotted" w:sz="4" w:space="0" w:color="auto"/>
            </w:tcBorders>
          </w:tcPr>
          <w:p w:rsidR="00801105" w:rsidRPr="00025B12" w:rsidRDefault="00801105"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801105" w:rsidRPr="00025B12" w:rsidRDefault="00665F1D" w:rsidP="005F2F0A">
            <w:pPr>
              <w:spacing w:after="0" w:line="240" w:lineRule="auto"/>
              <w:jc w:val="center"/>
              <w:rPr>
                <w:rFonts w:ascii="Verdana" w:eastAsiaTheme="minorHAnsi" w:hAnsi="Verdana" w:cstheme="minorBidi"/>
                <w:sz w:val="18"/>
                <w:szCs w:val="18"/>
              </w:rPr>
            </w:pPr>
            <w:hyperlink w:anchor="CVTS" w:history="1">
              <w:r w:rsidR="00801105"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801105" w:rsidRPr="00025B12" w:rsidTr="00801105">
        <w:trPr>
          <w:trHeight w:val="360"/>
        </w:trPr>
        <w:tc>
          <w:tcPr>
            <w:tcW w:w="1417" w:type="dxa"/>
            <w:tcBorders>
              <w:top w:val="dotted" w:sz="4" w:space="0" w:color="auto"/>
              <w:bottom w:val="dotted" w:sz="4" w:space="0" w:color="auto"/>
              <w:right w:val="dotted" w:sz="4" w:space="0" w:color="auto"/>
            </w:tcBorders>
          </w:tcPr>
          <w:p w:rsidR="00801105" w:rsidRPr="00025B12" w:rsidRDefault="00801105"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801105" w:rsidRPr="00025B12" w:rsidRDefault="00665F1D" w:rsidP="005F2F0A">
            <w:pPr>
              <w:spacing w:after="0" w:line="240" w:lineRule="auto"/>
              <w:jc w:val="center"/>
              <w:rPr>
                <w:rFonts w:ascii="Verdana" w:eastAsiaTheme="minorHAnsi" w:hAnsi="Verdana" w:cstheme="minorBidi"/>
                <w:sz w:val="18"/>
                <w:szCs w:val="18"/>
              </w:rPr>
            </w:pPr>
            <w:hyperlink w:anchor="CVTS" w:history="1">
              <w:r w:rsidR="00801105"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801105" w:rsidRPr="00025B12" w:rsidTr="00801105">
        <w:trPr>
          <w:trHeight w:val="360"/>
        </w:trPr>
        <w:tc>
          <w:tcPr>
            <w:tcW w:w="1417" w:type="dxa"/>
            <w:tcBorders>
              <w:top w:val="dotted" w:sz="4" w:space="0" w:color="auto"/>
              <w:right w:val="dotted" w:sz="4" w:space="0" w:color="auto"/>
            </w:tcBorders>
          </w:tcPr>
          <w:p w:rsidR="00801105" w:rsidRPr="00025B12" w:rsidRDefault="00801105"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801105" w:rsidRPr="00025B12" w:rsidRDefault="00801105" w:rsidP="005F2F0A">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20" w:type="dxa"/>
            <w:tcBorders>
              <w:top w:val="dotted" w:sz="4" w:space="0" w:color="auto"/>
              <w:left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4" w:type="dxa"/>
            <w:tcBorders>
              <w:top w:val="dotted" w:sz="4" w:space="0" w:color="auto"/>
              <w:left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6B5EEA" w:rsidRPr="00025B12" w:rsidTr="00801105">
        <w:trPr>
          <w:trHeight w:val="274"/>
        </w:trPr>
        <w:tc>
          <w:tcPr>
            <w:tcW w:w="9288" w:type="dxa"/>
            <w:gridSpan w:val="5"/>
            <w:shd w:val="clear" w:color="auto" w:fill="663399"/>
          </w:tcPr>
          <w:p w:rsidR="006B5EEA" w:rsidRPr="00025B12" w:rsidRDefault="006B5EEA" w:rsidP="00940374">
            <w:pPr>
              <w:spacing w:after="0" w:line="240" w:lineRule="auto"/>
              <w:jc w:val="center"/>
              <w:rPr>
                <w:rFonts w:ascii="Verdana" w:eastAsiaTheme="minorHAnsi" w:hAnsi="Verdana" w:cstheme="minorBidi"/>
                <w:sz w:val="18"/>
                <w:szCs w:val="18"/>
              </w:rPr>
            </w:pPr>
          </w:p>
        </w:tc>
      </w:tr>
      <w:tr w:rsidR="006B5EEA" w:rsidRPr="00025B12" w:rsidTr="00801105">
        <w:trPr>
          <w:trHeight w:val="1460"/>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6B5EEA" w:rsidRPr="00025B12" w:rsidRDefault="006B5EEA" w:rsidP="00940374">
            <w:pPr>
              <w:jc w:val="both"/>
              <w:rPr>
                <w:rFonts w:ascii="Verdana" w:hAnsi="Verdana"/>
                <w:sz w:val="18"/>
                <w:szCs w:val="18"/>
              </w:rPr>
            </w:pPr>
            <w:r w:rsidRPr="00025B12">
              <w:rPr>
                <w:rFonts w:ascii="Verdana" w:hAnsi="Verdana"/>
                <w:sz w:val="18"/>
                <w:szCs w:val="18"/>
              </w:rPr>
              <w:t>Zatímco celková doba ve vzdělávání přepočtená na všechny odpracované hodiny měří celkový rozsah vzdělávání, doba přepočtená na jednoho účastníka vypovídá spíše o intenzitě dalšího vzdělávání. Pokud jej dáme do kontextu s účastí a s výdaji podniků na vzdělávání, můžeme na jeho základě usuzovat, zda zaměstnavatelé usilují spíše o rozvoj špičkových zaměstnanců nebo investují spíše do extenzivního vzdělávání pro širší základnu zaměstnanců.</w:t>
            </w:r>
          </w:p>
        </w:tc>
      </w:tr>
      <w:tr w:rsidR="006B5EEA" w:rsidRPr="00025B12" w:rsidTr="00801105">
        <w:trPr>
          <w:trHeight w:val="992"/>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6B5EEA" w:rsidRPr="00025B12" w:rsidRDefault="006B5EEA" w:rsidP="005C6DC1">
            <w:pPr>
              <w:jc w:val="both"/>
              <w:rPr>
                <w:rFonts w:ascii="Verdana" w:hAnsi="Verdana"/>
                <w:sz w:val="18"/>
                <w:szCs w:val="18"/>
              </w:rPr>
            </w:pPr>
            <w:r w:rsidRPr="00025B12">
              <w:rPr>
                <w:rFonts w:ascii="Verdana" w:hAnsi="Verdana"/>
                <w:sz w:val="18"/>
                <w:szCs w:val="18"/>
              </w:rPr>
              <w:t>Indikátor je vypočten jako počet hodin strávených v</w:t>
            </w:r>
            <w:r w:rsidR="005C6DC1" w:rsidRPr="00025B12">
              <w:rPr>
                <w:rFonts w:ascii="Verdana" w:hAnsi="Verdana"/>
                <w:sz w:val="18"/>
                <w:szCs w:val="18"/>
              </w:rPr>
              <w:t> kurzech dalšího odborného</w:t>
            </w:r>
            <w:r w:rsidRPr="00025B12">
              <w:rPr>
                <w:rFonts w:ascii="Verdana" w:hAnsi="Verdana"/>
                <w:sz w:val="18"/>
                <w:szCs w:val="18"/>
              </w:rPr>
              <w:t xml:space="preserve"> vzdělávání v referenčním roce v přepočtu na jednoho účastníka</w:t>
            </w:r>
            <w:r w:rsidR="005C6DC1" w:rsidRPr="00025B12">
              <w:rPr>
                <w:rFonts w:ascii="Verdana" w:hAnsi="Verdana"/>
                <w:sz w:val="18"/>
                <w:szCs w:val="18"/>
              </w:rPr>
              <w:t xml:space="preserve"> kurzů</w:t>
            </w:r>
            <w:r w:rsidRPr="00025B12">
              <w:rPr>
                <w:rFonts w:ascii="Verdana" w:hAnsi="Verdana"/>
                <w:sz w:val="18"/>
                <w:szCs w:val="18"/>
              </w:rPr>
              <w:t>.</w:t>
            </w:r>
          </w:p>
        </w:tc>
      </w:tr>
      <w:tr w:rsidR="006B5EEA" w:rsidRPr="00025B12" w:rsidTr="00801105">
        <w:trPr>
          <w:trHeight w:val="423"/>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6B5EEA" w:rsidRPr="00025B12" w:rsidRDefault="006B5EEA" w:rsidP="00940374">
            <w:pPr>
              <w:jc w:val="both"/>
              <w:rPr>
                <w:rFonts w:ascii="Verdana" w:hAnsi="Verdana"/>
                <w:sz w:val="18"/>
                <w:szCs w:val="18"/>
              </w:rPr>
            </w:pPr>
            <w:r w:rsidRPr="00025B12">
              <w:rPr>
                <w:rFonts w:ascii="Verdana" w:hAnsi="Verdana"/>
                <w:sz w:val="18"/>
                <w:szCs w:val="18"/>
              </w:rPr>
              <w:t>Data pro mezinárodní srovnání jsou převzata z webových stránek Eurostatu. Regionální třídění není k dispozici.</w:t>
            </w:r>
          </w:p>
        </w:tc>
      </w:tr>
      <w:tr w:rsidR="006B5EEA" w:rsidRPr="00025B12" w:rsidTr="00801105">
        <w:trPr>
          <w:trHeight w:val="837"/>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6B5EEA" w:rsidRPr="00025B12" w:rsidRDefault="006B5EEA" w:rsidP="00940374">
            <w:pPr>
              <w:jc w:val="both"/>
              <w:rPr>
                <w:rFonts w:ascii="Verdana" w:hAnsi="Verdana"/>
                <w:sz w:val="18"/>
                <w:szCs w:val="18"/>
              </w:rPr>
            </w:pPr>
            <w:r w:rsidRPr="00025B12">
              <w:rPr>
                <w:rFonts w:ascii="Verdana" w:hAnsi="Verdana"/>
                <w:sz w:val="18"/>
                <w:szCs w:val="18"/>
              </w:rPr>
              <w:t>-</w:t>
            </w:r>
          </w:p>
        </w:tc>
      </w:tr>
    </w:tbl>
    <w:p w:rsidR="006B5EEA" w:rsidRPr="00025B12" w:rsidRDefault="006B5EEA" w:rsidP="006B5EEA"/>
    <w:p w:rsidR="006B5EEA" w:rsidRPr="00025B12" w:rsidRDefault="006B5EEA" w:rsidP="006B5EEA">
      <w:r w:rsidRPr="00025B12">
        <w:br w:type="page"/>
      </w:r>
    </w:p>
    <w:p w:rsidR="006B5EEA" w:rsidRPr="00025B12" w:rsidRDefault="006B5EEA" w:rsidP="006B5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6B5EEA" w:rsidRPr="00025B12" w:rsidTr="00801105">
        <w:trPr>
          <w:trHeight w:val="425"/>
        </w:trPr>
        <w:tc>
          <w:tcPr>
            <w:tcW w:w="1417" w:type="dxa"/>
            <w:tcBorders>
              <w:bottom w:val="single" w:sz="4" w:space="0" w:color="auto"/>
              <w:right w:val="single" w:sz="4" w:space="0" w:color="auto"/>
            </w:tcBorders>
            <w:shd w:val="clear" w:color="auto" w:fill="663399"/>
            <w:vAlign w:val="center"/>
          </w:tcPr>
          <w:p w:rsidR="006B5EEA" w:rsidRPr="00025B12" w:rsidRDefault="006B5EEA" w:rsidP="00940374">
            <w:pPr>
              <w:pStyle w:val="Kd"/>
              <w:rPr>
                <w:sz w:val="18"/>
                <w:szCs w:val="18"/>
              </w:rPr>
            </w:pPr>
            <w:r w:rsidRPr="00025B12">
              <w:rPr>
                <w:sz w:val="18"/>
                <w:szCs w:val="18"/>
              </w:rPr>
              <w:br w:type="page"/>
            </w:r>
            <w:r w:rsidRPr="00025B12">
              <w:rPr>
                <w:sz w:val="18"/>
                <w:szCs w:val="18"/>
              </w:rPr>
              <w:br w:type="page"/>
            </w:r>
            <w:bookmarkStart w:id="134" w:name="IV48"/>
            <w:r w:rsidRPr="00025B12">
              <w:rPr>
                <w:sz w:val="18"/>
                <w:szCs w:val="18"/>
              </w:rPr>
              <w:t>IV.4.</w:t>
            </w:r>
            <w:bookmarkEnd w:id="134"/>
            <w:r w:rsidR="00741F81" w:rsidRPr="00025B12">
              <w:rPr>
                <w:sz w:val="18"/>
                <w:szCs w:val="18"/>
              </w:rPr>
              <w:t>d4</w:t>
            </w:r>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6B5EEA" w:rsidRPr="00025B12" w:rsidRDefault="006B5EEA" w:rsidP="00940374">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Využívání e-learningu podniky</w:t>
            </w:r>
          </w:p>
        </w:tc>
      </w:tr>
      <w:tr w:rsidR="006B5EEA" w:rsidRPr="00025B12" w:rsidTr="00801105">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6B5EEA" w:rsidRPr="00025B12" w:rsidRDefault="00D6348B" w:rsidP="00940374">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Doplňkový</w:t>
            </w:r>
          </w:p>
        </w:tc>
        <w:tc>
          <w:tcPr>
            <w:tcW w:w="7871" w:type="dxa"/>
            <w:gridSpan w:val="4"/>
            <w:vMerge/>
            <w:tcBorders>
              <w:left w:val="single" w:sz="4" w:space="0" w:color="auto"/>
              <w:bottom w:val="single" w:sz="4" w:space="0" w:color="auto"/>
              <w:right w:val="single" w:sz="4" w:space="0" w:color="auto"/>
            </w:tcBorders>
            <w:vAlign w:val="center"/>
          </w:tcPr>
          <w:p w:rsidR="006B5EEA" w:rsidRPr="00025B12" w:rsidRDefault="006B5EEA" w:rsidP="00940374">
            <w:pPr>
              <w:spacing w:after="0" w:line="240" w:lineRule="auto"/>
              <w:jc w:val="center"/>
              <w:rPr>
                <w:rFonts w:ascii="Verdana" w:eastAsiaTheme="minorHAnsi" w:hAnsi="Verdana" w:cstheme="minorBidi"/>
                <w:sz w:val="18"/>
                <w:szCs w:val="18"/>
              </w:rPr>
            </w:pPr>
          </w:p>
        </w:tc>
      </w:tr>
      <w:tr w:rsidR="006B5EEA" w:rsidRPr="00025B12" w:rsidTr="00296FE3">
        <w:trPr>
          <w:trHeight w:val="360"/>
        </w:trPr>
        <w:tc>
          <w:tcPr>
            <w:tcW w:w="1417" w:type="dxa"/>
            <w:tcBorders>
              <w:top w:val="single" w:sz="4" w:space="0" w:color="auto"/>
              <w:bottom w:val="dotted" w:sz="4" w:space="0" w:color="auto"/>
              <w:right w:val="dotted" w:sz="4" w:space="0" w:color="auto"/>
            </w:tcBorders>
          </w:tcPr>
          <w:p w:rsidR="006B5EEA" w:rsidRPr="00025B12" w:rsidRDefault="006B5EEA" w:rsidP="00940374">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6B5EEA" w:rsidRPr="00025B12" w:rsidRDefault="006B5EEA"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6B5EEA" w:rsidRPr="00025B12" w:rsidRDefault="006B5EEA"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6B52E8" w:rsidRPr="00025B12" w:rsidTr="00801105">
        <w:trPr>
          <w:trHeight w:val="360"/>
        </w:trPr>
        <w:tc>
          <w:tcPr>
            <w:tcW w:w="1417" w:type="dxa"/>
            <w:tcBorders>
              <w:top w:val="dotted" w:sz="4" w:space="0" w:color="auto"/>
              <w:bottom w:val="dotted" w:sz="4" w:space="0" w:color="auto"/>
              <w:right w:val="dotted" w:sz="4" w:space="0" w:color="auto"/>
            </w:tcBorders>
          </w:tcPr>
          <w:p w:rsidR="006B52E8" w:rsidRPr="00025B12" w:rsidRDefault="006B52E8"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6B52E8" w:rsidRPr="00025B12" w:rsidRDefault="00665F1D" w:rsidP="00DD020F">
            <w:pPr>
              <w:spacing w:after="0" w:line="240" w:lineRule="auto"/>
              <w:jc w:val="center"/>
              <w:rPr>
                <w:rFonts w:ascii="Verdana" w:eastAsiaTheme="minorHAnsi" w:hAnsi="Verdana" w:cstheme="minorBidi"/>
                <w:sz w:val="18"/>
                <w:szCs w:val="18"/>
              </w:rPr>
            </w:pPr>
            <w:hyperlink w:anchor="ICT" w:history="1">
              <w:r w:rsidR="006B52E8" w:rsidRPr="00025B12">
                <w:rPr>
                  <w:rStyle w:val="Hypertextovodkaz"/>
                  <w:rFonts w:ascii="Verdana" w:eastAsiaTheme="minorHAnsi" w:hAnsi="Verdana" w:cstheme="minorBidi"/>
                  <w:sz w:val="18"/>
                  <w:szCs w:val="18"/>
                </w:rPr>
                <w:t>ICT usage in enterprises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6B52E8" w:rsidRPr="00025B12" w:rsidRDefault="006B52E8"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6B52E8" w:rsidRPr="00025B12" w:rsidRDefault="006B52E8"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2069" w:type="dxa"/>
            <w:tcBorders>
              <w:top w:val="dotted" w:sz="4" w:space="0" w:color="auto"/>
              <w:left w:val="dotted" w:sz="4" w:space="0" w:color="auto"/>
              <w:bottom w:val="dotted" w:sz="4" w:space="0" w:color="auto"/>
            </w:tcBorders>
            <w:vAlign w:val="center"/>
          </w:tcPr>
          <w:p w:rsidR="006B52E8" w:rsidRPr="00025B12" w:rsidRDefault="006B52E8"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2003</w:t>
            </w:r>
          </w:p>
        </w:tc>
      </w:tr>
      <w:tr w:rsidR="006B52E8" w:rsidRPr="00025B12" w:rsidTr="00801105">
        <w:trPr>
          <w:trHeight w:val="360"/>
        </w:trPr>
        <w:tc>
          <w:tcPr>
            <w:tcW w:w="1417" w:type="dxa"/>
            <w:tcBorders>
              <w:top w:val="dotted" w:sz="4" w:space="0" w:color="auto"/>
              <w:bottom w:val="dotted" w:sz="4" w:space="0" w:color="auto"/>
              <w:right w:val="dotted" w:sz="4" w:space="0" w:color="auto"/>
            </w:tcBorders>
          </w:tcPr>
          <w:p w:rsidR="006B52E8" w:rsidRPr="00025B12" w:rsidRDefault="006B52E8"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6B52E8" w:rsidRPr="00025B12" w:rsidRDefault="00665F1D" w:rsidP="00DD020F">
            <w:pPr>
              <w:spacing w:after="0" w:line="240" w:lineRule="auto"/>
              <w:jc w:val="center"/>
              <w:rPr>
                <w:rFonts w:ascii="Verdana" w:eastAsiaTheme="minorHAnsi" w:hAnsi="Verdana" w:cstheme="minorBidi"/>
                <w:sz w:val="18"/>
                <w:szCs w:val="18"/>
              </w:rPr>
            </w:pPr>
            <w:hyperlink w:anchor="ICT" w:history="1">
              <w:r w:rsidR="006B52E8" w:rsidRPr="00025B12">
                <w:rPr>
                  <w:rStyle w:val="Hypertextovodkaz"/>
                  <w:rFonts w:ascii="Verdana" w:eastAsiaTheme="minorHAnsi" w:hAnsi="Verdana" w:cstheme="minorBidi"/>
                  <w:sz w:val="18"/>
                  <w:szCs w:val="18"/>
                </w:rPr>
                <w:t>ICT 5-01</w:t>
              </w:r>
            </w:hyperlink>
          </w:p>
        </w:tc>
        <w:tc>
          <w:tcPr>
            <w:tcW w:w="2220" w:type="dxa"/>
            <w:tcBorders>
              <w:top w:val="dotted" w:sz="4" w:space="0" w:color="auto"/>
              <w:left w:val="dotted" w:sz="4" w:space="0" w:color="auto"/>
              <w:bottom w:val="dotted" w:sz="4" w:space="0" w:color="auto"/>
              <w:right w:val="dotted" w:sz="4" w:space="0" w:color="auto"/>
            </w:tcBorders>
            <w:vAlign w:val="center"/>
          </w:tcPr>
          <w:p w:rsidR="006B52E8" w:rsidRPr="00025B12" w:rsidRDefault="006B52E8"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6B52E8" w:rsidRPr="00025B12" w:rsidRDefault="006B52E8"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 rok</w:t>
            </w:r>
          </w:p>
        </w:tc>
        <w:tc>
          <w:tcPr>
            <w:tcW w:w="2069" w:type="dxa"/>
            <w:tcBorders>
              <w:top w:val="dotted" w:sz="4" w:space="0" w:color="auto"/>
              <w:left w:val="dotted" w:sz="4" w:space="0" w:color="auto"/>
              <w:bottom w:val="dotted" w:sz="4" w:space="0" w:color="auto"/>
            </w:tcBorders>
            <w:vAlign w:val="center"/>
          </w:tcPr>
          <w:p w:rsidR="006B52E8" w:rsidRPr="00025B12" w:rsidRDefault="006B52E8" w:rsidP="00940374">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Od 2003</w:t>
            </w:r>
          </w:p>
        </w:tc>
      </w:tr>
      <w:tr w:rsidR="00801105" w:rsidRPr="00025B12" w:rsidTr="00801105">
        <w:trPr>
          <w:trHeight w:val="360"/>
        </w:trPr>
        <w:tc>
          <w:tcPr>
            <w:tcW w:w="1417" w:type="dxa"/>
            <w:tcBorders>
              <w:top w:val="dotted" w:sz="4" w:space="0" w:color="auto"/>
              <w:right w:val="dotted" w:sz="4" w:space="0" w:color="auto"/>
            </w:tcBorders>
          </w:tcPr>
          <w:p w:rsidR="00801105" w:rsidRPr="00025B12" w:rsidRDefault="00801105" w:rsidP="00940374">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801105" w:rsidRPr="00025B12" w:rsidRDefault="00801105" w:rsidP="005F2F0A">
            <w:pPr>
              <w:spacing w:after="0" w:line="240" w:lineRule="auto"/>
              <w:jc w:val="center"/>
              <w:rPr>
                <w:rFonts w:ascii="Verdana" w:eastAsiaTheme="minorHAnsi" w:hAnsi="Verdana" w:cstheme="minorBidi"/>
                <w:sz w:val="18"/>
                <w:szCs w:val="18"/>
              </w:rPr>
            </w:pPr>
          </w:p>
        </w:tc>
        <w:tc>
          <w:tcPr>
            <w:tcW w:w="2220" w:type="dxa"/>
            <w:tcBorders>
              <w:top w:val="dotted" w:sz="4" w:space="0" w:color="auto"/>
              <w:left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p>
        </w:tc>
        <w:tc>
          <w:tcPr>
            <w:tcW w:w="2034" w:type="dxa"/>
            <w:tcBorders>
              <w:top w:val="dotted" w:sz="4" w:space="0" w:color="auto"/>
              <w:left w:val="dotted" w:sz="4" w:space="0" w:color="auto"/>
              <w:righ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p>
        </w:tc>
        <w:tc>
          <w:tcPr>
            <w:tcW w:w="2069" w:type="dxa"/>
            <w:tcBorders>
              <w:top w:val="dotted" w:sz="4" w:space="0" w:color="auto"/>
              <w:left w:val="dotted" w:sz="4" w:space="0" w:color="auto"/>
            </w:tcBorders>
            <w:vAlign w:val="center"/>
          </w:tcPr>
          <w:p w:rsidR="00801105" w:rsidRPr="00025B12" w:rsidRDefault="00801105" w:rsidP="00940374">
            <w:pPr>
              <w:spacing w:after="0" w:line="240" w:lineRule="auto"/>
              <w:jc w:val="center"/>
              <w:rPr>
                <w:rFonts w:ascii="Verdana" w:eastAsiaTheme="minorHAnsi" w:hAnsi="Verdana" w:cstheme="minorBidi"/>
                <w:sz w:val="18"/>
                <w:szCs w:val="18"/>
              </w:rPr>
            </w:pPr>
          </w:p>
        </w:tc>
      </w:tr>
      <w:tr w:rsidR="006B5EEA" w:rsidRPr="00025B12" w:rsidTr="00801105">
        <w:trPr>
          <w:trHeight w:val="274"/>
        </w:trPr>
        <w:tc>
          <w:tcPr>
            <w:tcW w:w="9288" w:type="dxa"/>
            <w:gridSpan w:val="5"/>
            <w:shd w:val="clear" w:color="auto" w:fill="663399"/>
          </w:tcPr>
          <w:p w:rsidR="006B5EEA" w:rsidRPr="00025B12" w:rsidRDefault="006B5EEA" w:rsidP="00940374">
            <w:pPr>
              <w:spacing w:after="0" w:line="240" w:lineRule="auto"/>
              <w:jc w:val="center"/>
              <w:rPr>
                <w:rFonts w:ascii="Verdana" w:eastAsiaTheme="minorHAnsi" w:hAnsi="Verdana" w:cstheme="minorBidi"/>
                <w:sz w:val="18"/>
                <w:szCs w:val="18"/>
              </w:rPr>
            </w:pPr>
          </w:p>
        </w:tc>
      </w:tr>
      <w:tr w:rsidR="006B5EEA" w:rsidRPr="00025B12" w:rsidTr="00801105">
        <w:trPr>
          <w:trHeight w:val="1460"/>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6B5EEA" w:rsidRPr="00025B12" w:rsidRDefault="006B5EEA" w:rsidP="00940374">
            <w:pPr>
              <w:jc w:val="both"/>
              <w:rPr>
                <w:rFonts w:ascii="Verdana" w:hAnsi="Verdana"/>
                <w:sz w:val="18"/>
                <w:szCs w:val="18"/>
              </w:rPr>
            </w:pPr>
            <w:r w:rsidRPr="00025B12">
              <w:rPr>
                <w:rFonts w:ascii="Verdana" w:hAnsi="Verdana"/>
                <w:sz w:val="18"/>
                <w:szCs w:val="18"/>
              </w:rPr>
              <w:t>E-learning tvoří specifickou formu, kterou mohou podniky využívat pro další vzdělávání. Podíl podniků, které e-learning využívají, svědčí o adaptaci na nové technologie a může poskytnout informaci o poptávce po této formě vzdělávání ze strany podniků.</w:t>
            </w:r>
          </w:p>
        </w:tc>
      </w:tr>
      <w:tr w:rsidR="006B5EEA" w:rsidRPr="00025B12" w:rsidTr="00801105">
        <w:trPr>
          <w:trHeight w:val="992"/>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6B5EEA" w:rsidRPr="00025B12" w:rsidRDefault="006B5EEA" w:rsidP="00F67D48">
            <w:pPr>
              <w:jc w:val="both"/>
              <w:rPr>
                <w:rFonts w:ascii="Verdana" w:hAnsi="Verdana"/>
                <w:sz w:val="18"/>
                <w:szCs w:val="18"/>
              </w:rPr>
            </w:pPr>
            <w:r w:rsidRPr="00025B12">
              <w:rPr>
                <w:rFonts w:ascii="Verdana" w:hAnsi="Verdana"/>
                <w:sz w:val="18"/>
                <w:szCs w:val="18"/>
              </w:rPr>
              <w:t>Indikátor je vypočten jako podíl podniků, které používají e-learning pro vzdělávání zaměstnanců na všech podnicích.</w:t>
            </w:r>
            <w:r w:rsidR="00F67D48" w:rsidRPr="00025B12">
              <w:rPr>
                <w:rFonts w:ascii="Verdana" w:hAnsi="Verdana"/>
                <w:sz w:val="18"/>
                <w:szCs w:val="18"/>
              </w:rPr>
              <w:t xml:space="preserve"> Referenčním obdobím je jeden specifikovaný měsíc.</w:t>
            </w:r>
          </w:p>
        </w:tc>
      </w:tr>
      <w:tr w:rsidR="006B5EEA" w:rsidRPr="00025B12" w:rsidTr="00801105">
        <w:trPr>
          <w:trHeight w:val="423"/>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6B5EEA" w:rsidRPr="00025B12" w:rsidRDefault="006B5EEA" w:rsidP="00940374">
            <w:pPr>
              <w:jc w:val="both"/>
              <w:rPr>
                <w:rFonts w:ascii="Verdana" w:hAnsi="Verdana"/>
                <w:sz w:val="18"/>
                <w:szCs w:val="18"/>
              </w:rPr>
            </w:pPr>
            <w:r w:rsidRPr="00025B12">
              <w:rPr>
                <w:rFonts w:ascii="Verdana" w:hAnsi="Verdana"/>
                <w:sz w:val="18"/>
                <w:szCs w:val="18"/>
              </w:rPr>
              <w:t>Data pro mezinárodní srovnání jsou převzata z webových stránek Eurostatu. Regionální třídění není k dispozici.</w:t>
            </w:r>
          </w:p>
        </w:tc>
      </w:tr>
      <w:tr w:rsidR="006B5EEA" w:rsidRPr="00025B12" w:rsidTr="00801105">
        <w:trPr>
          <w:trHeight w:val="837"/>
        </w:trPr>
        <w:tc>
          <w:tcPr>
            <w:tcW w:w="9288" w:type="dxa"/>
            <w:gridSpan w:val="5"/>
          </w:tcPr>
          <w:p w:rsidR="006B5EEA" w:rsidRPr="00025B12" w:rsidRDefault="006B5EEA" w:rsidP="00940374">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6B5EEA" w:rsidRPr="00025B12" w:rsidRDefault="006B5EEA" w:rsidP="00D6348B">
            <w:pPr>
              <w:jc w:val="both"/>
              <w:rPr>
                <w:rFonts w:ascii="Verdana" w:hAnsi="Verdana"/>
                <w:sz w:val="18"/>
                <w:szCs w:val="18"/>
              </w:rPr>
            </w:pPr>
            <w:r w:rsidRPr="00025B12">
              <w:rPr>
                <w:rFonts w:ascii="Verdana" w:hAnsi="Verdana"/>
                <w:sz w:val="18"/>
                <w:szCs w:val="18"/>
              </w:rPr>
              <w:t>Uvedená mezinárodní data jsou publikována na webových stránkách Eurostatu. Data za ČR v regionálním členění publikována nejsou</w:t>
            </w:r>
            <w:r w:rsidR="00D6348B" w:rsidRPr="00025B12">
              <w:rPr>
                <w:rFonts w:ascii="Verdana" w:hAnsi="Verdana"/>
                <w:sz w:val="18"/>
                <w:szCs w:val="18"/>
              </w:rPr>
              <w:t xml:space="preserve"> a jako u všech podnikových šetření je zde problém s přiřazením podniků do regionu dle jejich sídla</w:t>
            </w:r>
            <w:r w:rsidRPr="00025B12">
              <w:rPr>
                <w:rFonts w:ascii="Verdana" w:hAnsi="Verdana"/>
                <w:sz w:val="18"/>
                <w:szCs w:val="18"/>
              </w:rPr>
              <w:t>.</w:t>
            </w:r>
          </w:p>
        </w:tc>
      </w:tr>
    </w:tbl>
    <w:p w:rsidR="006B5EEA" w:rsidRPr="00025B12" w:rsidRDefault="006B5EEA" w:rsidP="006B5EEA"/>
    <w:p w:rsidR="007877E2" w:rsidRPr="00025B12" w:rsidRDefault="00BF3592" w:rsidP="0078007C">
      <w:pPr>
        <w:pStyle w:val="nadkonc3"/>
        <w:numPr>
          <w:ilvl w:val="2"/>
          <w:numId w:val="10"/>
        </w:numPr>
        <w:rPr>
          <w:caps/>
        </w:rPr>
      </w:pPr>
      <w:r w:rsidRPr="00025B12">
        <w:rPr>
          <w:sz w:val="20"/>
          <w:szCs w:val="20"/>
        </w:rPr>
        <w:br w:type="page"/>
      </w:r>
      <w:bookmarkStart w:id="135" w:name="_Toc304898624"/>
      <w:r w:rsidRPr="00025B12">
        <w:rPr>
          <w:caps/>
        </w:rPr>
        <w:lastRenderedPageBreak/>
        <w:t>Vyřazené indikátory</w:t>
      </w:r>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15"/>
        <w:gridCol w:w="1851"/>
        <w:gridCol w:w="2249"/>
        <w:gridCol w:w="2067"/>
        <w:gridCol w:w="1692"/>
      </w:tblGrid>
      <w:tr w:rsidR="00BF3592" w:rsidRPr="00025B12" w:rsidTr="00314709">
        <w:trPr>
          <w:trHeight w:val="425"/>
        </w:trPr>
        <w:tc>
          <w:tcPr>
            <w:tcW w:w="1414" w:type="dxa"/>
            <w:tcBorders>
              <w:top w:val="single" w:sz="4" w:space="0" w:color="auto"/>
              <w:left w:val="single" w:sz="4" w:space="0" w:color="auto"/>
              <w:bottom w:val="single" w:sz="4" w:space="0" w:color="auto"/>
              <w:right w:val="single" w:sz="4" w:space="0" w:color="auto"/>
            </w:tcBorders>
            <w:shd w:val="clear" w:color="auto" w:fill="663399"/>
            <w:vAlign w:val="center"/>
          </w:tcPr>
          <w:p w:rsidR="00BF3592" w:rsidRPr="00025B12" w:rsidRDefault="00BF3592" w:rsidP="0085505C">
            <w:pPr>
              <w:pStyle w:val="Kd"/>
              <w:rPr>
                <w:sz w:val="18"/>
                <w:szCs w:val="18"/>
              </w:rPr>
            </w:pPr>
            <w:r w:rsidRPr="00025B12">
              <w:rPr>
                <w:sz w:val="18"/>
                <w:szCs w:val="18"/>
              </w:rPr>
              <w:br w:type="page"/>
            </w:r>
            <w:r w:rsidRPr="00025B12">
              <w:rPr>
                <w:sz w:val="18"/>
                <w:szCs w:val="18"/>
              </w:rPr>
              <w:br w:type="page"/>
            </w:r>
            <w:bookmarkStart w:id="136" w:name="zr1"/>
            <w:r w:rsidRPr="00025B12">
              <w:rPr>
                <w:sz w:val="18"/>
                <w:szCs w:val="18"/>
              </w:rPr>
              <w:t>-</w:t>
            </w:r>
            <w:bookmarkEnd w:id="136"/>
          </w:p>
        </w:tc>
        <w:tc>
          <w:tcPr>
            <w:tcW w:w="7874" w:type="dxa"/>
            <w:gridSpan w:val="5"/>
            <w:vMerge w:val="restart"/>
            <w:tcBorders>
              <w:top w:val="single" w:sz="4" w:space="0" w:color="auto"/>
              <w:left w:val="single" w:sz="4" w:space="0" w:color="auto"/>
              <w:bottom w:val="single" w:sz="4" w:space="0" w:color="auto"/>
              <w:right w:val="single" w:sz="4" w:space="0" w:color="auto"/>
            </w:tcBorders>
            <w:shd w:val="clear" w:color="auto" w:fill="663399"/>
            <w:vAlign w:val="center"/>
          </w:tcPr>
          <w:p w:rsidR="00BF3592" w:rsidRPr="00025B12" w:rsidRDefault="00BF3592" w:rsidP="0085505C">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Počet živnostenských oprávnění k DV pro fyzické osoby</w:t>
            </w:r>
          </w:p>
        </w:tc>
      </w:tr>
      <w:tr w:rsidR="00BF3592" w:rsidRPr="00025B12" w:rsidTr="00314709">
        <w:trPr>
          <w:trHeight w:val="425"/>
        </w:trPr>
        <w:tc>
          <w:tcPr>
            <w:tcW w:w="1414" w:type="dxa"/>
            <w:tcBorders>
              <w:top w:val="single" w:sz="4" w:space="0" w:color="auto"/>
              <w:left w:val="single" w:sz="4" w:space="0" w:color="auto"/>
              <w:bottom w:val="single" w:sz="4" w:space="0" w:color="auto"/>
              <w:right w:val="single" w:sz="4" w:space="0" w:color="auto"/>
            </w:tcBorders>
            <w:shd w:val="clear" w:color="auto" w:fill="663399"/>
            <w:vAlign w:val="center"/>
          </w:tcPr>
          <w:p w:rsidR="00BF3592" w:rsidRPr="00025B12" w:rsidRDefault="00BF3592" w:rsidP="00BF3592">
            <w:pPr>
              <w:pStyle w:val="Kd"/>
              <w:rPr>
                <w:sz w:val="18"/>
                <w:szCs w:val="18"/>
              </w:rPr>
            </w:pPr>
            <w:r w:rsidRPr="00025B12">
              <w:rPr>
                <w:sz w:val="18"/>
                <w:szCs w:val="18"/>
              </w:rPr>
              <w:t>Vyřazen</w:t>
            </w:r>
          </w:p>
        </w:tc>
        <w:tc>
          <w:tcPr>
            <w:tcW w:w="7874" w:type="dxa"/>
            <w:gridSpan w:val="5"/>
            <w:vMerge w:val="restart"/>
            <w:tcBorders>
              <w:top w:val="single" w:sz="4" w:space="0" w:color="auto"/>
              <w:left w:val="single" w:sz="4" w:space="0" w:color="auto"/>
              <w:bottom w:val="single" w:sz="4" w:space="0" w:color="auto"/>
              <w:right w:val="single" w:sz="4" w:space="0" w:color="auto"/>
            </w:tcBorders>
            <w:shd w:val="clear" w:color="auto" w:fill="663399"/>
            <w:vAlign w:val="center"/>
          </w:tcPr>
          <w:p w:rsidR="00BF3592" w:rsidRPr="00025B12" w:rsidRDefault="00BF3592" w:rsidP="0085505C">
            <w:pPr>
              <w:spacing w:after="0" w:line="240" w:lineRule="auto"/>
              <w:jc w:val="center"/>
              <w:rPr>
                <w:rFonts w:ascii="Verdana" w:eastAsiaTheme="minorHAnsi" w:hAnsi="Verdana" w:cstheme="minorBidi"/>
                <w:b/>
                <w:color w:val="FFFFFF" w:themeColor="background1"/>
                <w:sz w:val="18"/>
                <w:szCs w:val="18"/>
              </w:rPr>
            </w:pPr>
          </w:p>
        </w:tc>
      </w:tr>
      <w:tr w:rsidR="00BF3592" w:rsidRPr="00025B12" w:rsidTr="00296FE3">
        <w:trPr>
          <w:trHeight w:val="360"/>
        </w:trPr>
        <w:tc>
          <w:tcPr>
            <w:tcW w:w="1429" w:type="dxa"/>
            <w:gridSpan w:val="2"/>
            <w:tcBorders>
              <w:top w:val="single" w:sz="4" w:space="0" w:color="auto"/>
              <w:bottom w:val="dotted" w:sz="4" w:space="0" w:color="auto"/>
              <w:right w:val="dotted" w:sz="4" w:space="0" w:color="auto"/>
            </w:tcBorders>
          </w:tcPr>
          <w:p w:rsidR="00BF3592" w:rsidRPr="00025B12" w:rsidRDefault="00BF3592" w:rsidP="0085505C">
            <w:pPr>
              <w:spacing w:after="0" w:line="240" w:lineRule="auto"/>
              <w:jc w:val="center"/>
              <w:rPr>
                <w:rFonts w:ascii="Verdana" w:eastAsiaTheme="minorHAnsi" w:hAnsi="Verdana" w:cstheme="minorBidi"/>
                <w:sz w:val="18"/>
                <w:szCs w:val="18"/>
              </w:rPr>
            </w:pPr>
          </w:p>
        </w:tc>
        <w:tc>
          <w:tcPr>
            <w:tcW w:w="1851" w:type="dxa"/>
            <w:tcBorders>
              <w:top w:val="single"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49" w:type="dxa"/>
            <w:tcBorders>
              <w:top w:val="single"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67" w:type="dxa"/>
            <w:tcBorders>
              <w:top w:val="single"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92" w:type="dxa"/>
            <w:tcBorders>
              <w:top w:val="single" w:sz="4" w:space="0" w:color="auto"/>
              <w:left w:val="dotted" w:sz="4" w:space="0" w:color="auto"/>
              <w:bottom w:val="dotted" w:sz="4" w:space="0" w:color="auto"/>
            </w:tcBorders>
            <w:vAlign w:val="center"/>
          </w:tcPr>
          <w:p w:rsidR="00BF3592" w:rsidRPr="00025B12" w:rsidRDefault="00BF3592"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BF3592" w:rsidRPr="00025B12" w:rsidTr="00314709">
        <w:trPr>
          <w:trHeight w:val="360"/>
        </w:trPr>
        <w:tc>
          <w:tcPr>
            <w:tcW w:w="1429" w:type="dxa"/>
            <w:gridSpan w:val="2"/>
            <w:tcBorders>
              <w:top w:val="dotted" w:sz="4" w:space="0" w:color="auto"/>
              <w:bottom w:val="dotted" w:sz="4" w:space="0" w:color="auto"/>
              <w:right w:val="dotted" w:sz="4" w:space="0" w:color="auto"/>
            </w:tcBorders>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51"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49"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7"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92" w:type="dxa"/>
            <w:tcBorders>
              <w:top w:val="dotted" w:sz="4" w:space="0" w:color="auto"/>
              <w:left w:val="dotted" w:sz="4" w:space="0" w:color="auto"/>
              <w:bottom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BF3592" w:rsidRPr="00025B12" w:rsidTr="00314709">
        <w:trPr>
          <w:trHeight w:val="360"/>
        </w:trPr>
        <w:tc>
          <w:tcPr>
            <w:tcW w:w="1429" w:type="dxa"/>
            <w:gridSpan w:val="2"/>
            <w:tcBorders>
              <w:top w:val="dotted" w:sz="4" w:space="0" w:color="auto"/>
              <w:bottom w:val="dotted" w:sz="4" w:space="0" w:color="auto"/>
              <w:right w:val="dotted" w:sz="4" w:space="0" w:color="auto"/>
            </w:tcBorders>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51"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hAnsi="Verdana"/>
                <w:sz w:val="18"/>
                <w:szCs w:val="18"/>
              </w:rPr>
              <w:t>Živnostenský rejstřík</w:t>
            </w:r>
          </w:p>
        </w:tc>
        <w:tc>
          <w:tcPr>
            <w:tcW w:w="2249"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MPO</w:t>
            </w:r>
          </w:p>
        </w:tc>
        <w:tc>
          <w:tcPr>
            <w:tcW w:w="2067"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92" w:type="dxa"/>
            <w:tcBorders>
              <w:top w:val="dotted" w:sz="4" w:space="0" w:color="auto"/>
              <w:left w:val="dotted" w:sz="4" w:space="0" w:color="auto"/>
              <w:bottom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BF3592" w:rsidRPr="00025B12" w:rsidTr="00314709">
        <w:trPr>
          <w:trHeight w:val="360"/>
        </w:trPr>
        <w:tc>
          <w:tcPr>
            <w:tcW w:w="1429" w:type="dxa"/>
            <w:gridSpan w:val="2"/>
            <w:tcBorders>
              <w:top w:val="dotted" w:sz="4" w:space="0" w:color="auto"/>
              <w:right w:val="dotted" w:sz="4" w:space="0" w:color="auto"/>
            </w:tcBorders>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51" w:type="dxa"/>
            <w:tcBorders>
              <w:top w:val="dotted" w:sz="4" w:space="0" w:color="auto"/>
              <w:left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49" w:type="dxa"/>
            <w:tcBorders>
              <w:top w:val="dotted" w:sz="4" w:space="0" w:color="auto"/>
              <w:left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7" w:type="dxa"/>
            <w:tcBorders>
              <w:top w:val="dotted" w:sz="4" w:space="0" w:color="auto"/>
              <w:left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92" w:type="dxa"/>
            <w:tcBorders>
              <w:top w:val="dotted" w:sz="4" w:space="0" w:color="auto"/>
              <w:lef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BF3592" w:rsidRPr="00025B12" w:rsidTr="00314709">
        <w:trPr>
          <w:trHeight w:val="274"/>
        </w:trPr>
        <w:tc>
          <w:tcPr>
            <w:tcW w:w="7596" w:type="dxa"/>
            <w:gridSpan w:val="5"/>
            <w:shd w:val="clear" w:color="auto" w:fill="663399"/>
          </w:tcPr>
          <w:p w:rsidR="00BF3592" w:rsidRPr="00025B12" w:rsidRDefault="00BF3592" w:rsidP="0085505C">
            <w:pPr>
              <w:spacing w:after="0" w:line="240" w:lineRule="auto"/>
              <w:jc w:val="center"/>
              <w:rPr>
                <w:rFonts w:ascii="Verdana" w:eastAsiaTheme="minorHAnsi" w:hAnsi="Verdana" w:cstheme="minorBidi"/>
                <w:sz w:val="18"/>
                <w:szCs w:val="18"/>
              </w:rPr>
            </w:pPr>
          </w:p>
        </w:tc>
        <w:tc>
          <w:tcPr>
            <w:tcW w:w="1692" w:type="dxa"/>
            <w:shd w:val="clear" w:color="auto" w:fill="663399"/>
          </w:tcPr>
          <w:p w:rsidR="00BF3592" w:rsidRPr="00025B12" w:rsidRDefault="00BF3592" w:rsidP="0085505C">
            <w:pPr>
              <w:spacing w:after="0" w:line="240" w:lineRule="auto"/>
              <w:jc w:val="center"/>
              <w:rPr>
                <w:rFonts w:ascii="Verdana" w:eastAsiaTheme="minorHAnsi" w:hAnsi="Verdana" w:cstheme="minorBidi"/>
                <w:sz w:val="18"/>
                <w:szCs w:val="18"/>
              </w:rPr>
            </w:pPr>
          </w:p>
        </w:tc>
      </w:tr>
      <w:tr w:rsidR="00BF3592" w:rsidRPr="00025B12" w:rsidTr="0085505C">
        <w:trPr>
          <w:trHeight w:val="1319"/>
        </w:trPr>
        <w:tc>
          <w:tcPr>
            <w:tcW w:w="9288" w:type="dxa"/>
            <w:gridSpan w:val="6"/>
          </w:tcPr>
          <w:p w:rsidR="00BF3592" w:rsidRPr="00025B12" w:rsidRDefault="00BF3592" w:rsidP="0085505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BF3592" w:rsidRPr="00025B12" w:rsidRDefault="00BF3592" w:rsidP="0085505C">
            <w:pPr>
              <w:jc w:val="both"/>
              <w:rPr>
                <w:rFonts w:ascii="Verdana" w:hAnsi="Verdana"/>
                <w:sz w:val="18"/>
                <w:szCs w:val="18"/>
              </w:rPr>
            </w:pPr>
            <w:r w:rsidRPr="00025B12">
              <w:rPr>
                <w:rFonts w:ascii="Verdana" w:hAnsi="Verdana"/>
                <w:sz w:val="18"/>
                <w:szCs w:val="18"/>
              </w:rPr>
              <w:t>Indikátor chce na základě administrativních dat zjistit počet lidí, kteří mohou poskytovat další vzdělávání jako živnostníci.</w:t>
            </w:r>
          </w:p>
        </w:tc>
      </w:tr>
      <w:tr w:rsidR="00BF3592" w:rsidRPr="00025B12" w:rsidTr="0085505C">
        <w:trPr>
          <w:trHeight w:val="1485"/>
        </w:trPr>
        <w:tc>
          <w:tcPr>
            <w:tcW w:w="9288" w:type="dxa"/>
            <w:gridSpan w:val="6"/>
          </w:tcPr>
          <w:p w:rsidR="00BF3592" w:rsidRPr="00025B12" w:rsidRDefault="00BF3592" w:rsidP="0085505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BF3592" w:rsidRPr="00025B12" w:rsidRDefault="00BF3592" w:rsidP="0085505C">
            <w:pPr>
              <w:jc w:val="both"/>
              <w:rPr>
                <w:rFonts w:ascii="Verdana" w:hAnsi="Verdana"/>
                <w:sz w:val="18"/>
                <w:szCs w:val="18"/>
              </w:rPr>
            </w:pPr>
            <w:r w:rsidRPr="00025B12">
              <w:rPr>
                <w:rFonts w:ascii="Verdana" w:hAnsi="Verdana"/>
                <w:sz w:val="18"/>
                <w:szCs w:val="18"/>
              </w:rPr>
              <w:t>Indikátor je vypočten jako počet fyzických osob, které mají oprávnění k poskytování dalšího vzdělávání.</w:t>
            </w:r>
          </w:p>
        </w:tc>
      </w:tr>
      <w:tr w:rsidR="00BF3592" w:rsidRPr="00025B12" w:rsidTr="0085505C">
        <w:trPr>
          <w:trHeight w:val="1053"/>
        </w:trPr>
        <w:tc>
          <w:tcPr>
            <w:tcW w:w="9288" w:type="dxa"/>
            <w:gridSpan w:val="6"/>
          </w:tcPr>
          <w:p w:rsidR="00BF3592" w:rsidRPr="00025B12" w:rsidRDefault="00BF3592" w:rsidP="0085505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BF3592" w:rsidRPr="00025B12" w:rsidRDefault="00BF3592" w:rsidP="0085505C">
            <w:pPr>
              <w:jc w:val="both"/>
              <w:rPr>
                <w:rFonts w:ascii="Verdana" w:hAnsi="Verdana"/>
                <w:sz w:val="18"/>
                <w:szCs w:val="18"/>
              </w:rPr>
            </w:pPr>
            <w:r w:rsidRPr="00025B12">
              <w:rPr>
                <w:rFonts w:ascii="Verdana" w:hAnsi="Verdana"/>
                <w:sz w:val="18"/>
                <w:szCs w:val="18"/>
              </w:rPr>
              <w:t>Data pro indikátor by mohla být získávána z živnostenského rejstříku, popř. administrativního systému ARES, v současné době však nejsou veřejně přístupné ve formě umožňující statistické zpracování.</w:t>
            </w:r>
          </w:p>
        </w:tc>
      </w:tr>
      <w:tr w:rsidR="00BF3592" w:rsidRPr="00025B12" w:rsidTr="0085505C">
        <w:trPr>
          <w:trHeight w:val="837"/>
        </w:trPr>
        <w:tc>
          <w:tcPr>
            <w:tcW w:w="9288" w:type="dxa"/>
            <w:gridSpan w:val="6"/>
          </w:tcPr>
          <w:p w:rsidR="00BF3592" w:rsidRPr="00025B12" w:rsidRDefault="00BF3592" w:rsidP="0085505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BF3592" w:rsidRPr="00025B12" w:rsidRDefault="00BF3592" w:rsidP="0085505C">
            <w:pPr>
              <w:jc w:val="both"/>
              <w:rPr>
                <w:rFonts w:ascii="Verdana" w:hAnsi="Verdana"/>
                <w:sz w:val="18"/>
                <w:szCs w:val="18"/>
              </w:rPr>
            </w:pPr>
            <w:r w:rsidRPr="00025B12">
              <w:rPr>
                <w:rFonts w:ascii="Verdana" w:hAnsi="Verdana"/>
                <w:sz w:val="18"/>
                <w:szCs w:val="18"/>
              </w:rPr>
              <w:t>Po diskuzi s experty bylo od indikátoru upuštěno, neboť počty oprávnění nekorespondují se skutečným rozsahem lidských zdrojů pro DV (DV je volná živnost, může být poskytováno v rámci poradenství či dalších činností nebo naopak lidé, kteří mají oprávnění, nemusejí tuto činnost skutečně vykonávat).</w:t>
            </w:r>
          </w:p>
        </w:tc>
      </w:tr>
    </w:tbl>
    <w:p w:rsidR="00314709" w:rsidRPr="00025B12" w:rsidRDefault="00314709"/>
    <w:p w:rsidR="00314709" w:rsidRPr="00025B12" w:rsidRDefault="00314709">
      <w:r w:rsidRPr="00025B1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1853"/>
        <w:gridCol w:w="2253"/>
        <w:gridCol w:w="2076"/>
        <w:gridCol w:w="1692"/>
      </w:tblGrid>
      <w:tr w:rsidR="00BF3592" w:rsidRPr="00025B12" w:rsidTr="00314709">
        <w:trPr>
          <w:trHeight w:val="425"/>
        </w:trPr>
        <w:tc>
          <w:tcPr>
            <w:tcW w:w="1414" w:type="dxa"/>
            <w:tcBorders>
              <w:bottom w:val="single" w:sz="4" w:space="0" w:color="auto"/>
              <w:right w:val="single" w:sz="4" w:space="0" w:color="auto"/>
            </w:tcBorders>
            <w:shd w:val="clear" w:color="auto" w:fill="663399"/>
            <w:vAlign w:val="center"/>
          </w:tcPr>
          <w:p w:rsidR="00BF3592" w:rsidRPr="00025B12" w:rsidRDefault="00BF3592" w:rsidP="0085505C">
            <w:pPr>
              <w:pStyle w:val="Kd"/>
              <w:rPr>
                <w:sz w:val="18"/>
                <w:szCs w:val="18"/>
              </w:rPr>
            </w:pPr>
            <w:r w:rsidRPr="00025B12">
              <w:rPr>
                <w:sz w:val="18"/>
                <w:szCs w:val="18"/>
              </w:rPr>
              <w:br w:type="page"/>
            </w:r>
            <w:r w:rsidRPr="00025B12">
              <w:rPr>
                <w:sz w:val="18"/>
                <w:szCs w:val="18"/>
              </w:rPr>
              <w:br w:type="page"/>
            </w:r>
            <w:bookmarkStart w:id="137" w:name="zr2"/>
            <w:r w:rsidRPr="00025B12">
              <w:rPr>
                <w:sz w:val="18"/>
                <w:szCs w:val="18"/>
              </w:rPr>
              <w:t>-</w:t>
            </w:r>
            <w:bookmarkEnd w:id="137"/>
          </w:p>
        </w:tc>
        <w:tc>
          <w:tcPr>
            <w:tcW w:w="7874" w:type="dxa"/>
            <w:gridSpan w:val="4"/>
            <w:vMerge w:val="restart"/>
            <w:tcBorders>
              <w:top w:val="single" w:sz="4" w:space="0" w:color="auto"/>
              <w:left w:val="single" w:sz="4" w:space="0" w:color="auto"/>
              <w:right w:val="single" w:sz="4" w:space="0" w:color="auto"/>
            </w:tcBorders>
            <w:shd w:val="clear" w:color="auto" w:fill="663399"/>
            <w:vAlign w:val="center"/>
          </w:tcPr>
          <w:p w:rsidR="00BF3592" w:rsidRPr="00025B12" w:rsidRDefault="00BF3592" w:rsidP="0085505C">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Počet živnostenských oprávnění k DV pro právnické osoby</w:t>
            </w:r>
          </w:p>
        </w:tc>
      </w:tr>
      <w:tr w:rsidR="00BF3592" w:rsidRPr="00025B12" w:rsidTr="00314709">
        <w:trPr>
          <w:trHeight w:val="360"/>
        </w:trPr>
        <w:tc>
          <w:tcPr>
            <w:tcW w:w="1414" w:type="dxa"/>
            <w:tcBorders>
              <w:top w:val="single" w:sz="4" w:space="0" w:color="auto"/>
              <w:bottom w:val="single" w:sz="4" w:space="0" w:color="auto"/>
              <w:right w:val="single" w:sz="4" w:space="0" w:color="auto"/>
            </w:tcBorders>
            <w:shd w:val="clear" w:color="auto" w:fill="663399"/>
            <w:vAlign w:val="center"/>
          </w:tcPr>
          <w:p w:rsidR="00BF3592" w:rsidRPr="00025B12" w:rsidRDefault="00BF3592" w:rsidP="0085505C">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Vyřazen</w:t>
            </w:r>
          </w:p>
        </w:tc>
        <w:tc>
          <w:tcPr>
            <w:tcW w:w="7874" w:type="dxa"/>
            <w:gridSpan w:val="4"/>
            <w:vMerge/>
            <w:tcBorders>
              <w:left w:val="single" w:sz="4" w:space="0" w:color="auto"/>
              <w:bottom w:val="single" w:sz="4" w:space="0" w:color="auto"/>
              <w:right w:val="single"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p>
        </w:tc>
      </w:tr>
      <w:tr w:rsidR="00BF3592" w:rsidRPr="00025B12" w:rsidTr="00296FE3">
        <w:trPr>
          <w:trHeight w:val="360"/>
        </w:trPr>
        <w:tc>
          <w:tcPr>
            <w:tcW w:w="1414" w:type="dxa"/>
            <w:tcBorders>
              <w:top w:val="single" w:sz="4" w:space="0" w:color="auto"/>
              <w:bottom w:val="dotted" w:sz="4" w:space="0" w:color="auto"/>
              <w:right w:val="dotted" w:sz="4" w:space="0" w:color="auto"/>
            </w:tcBorders>
          </w:tcPr>
          <w:p w:rsidR="00BF3592" w:rsidRPr="00025B12" w:rsidRDefault="00BF3592" w:rsidP="0085505C">
            <w:pPr>
              <w:spacing w:after="0" w:line="240" w:lineRule="auto"/>
              <w:jc w:val="center"/>
              <w:rPr>
                <w:rFonts w:ascii="Verdana" w:eastAsiaTheme="minorHAnsi" w:hAnsi="Verdana" w:cstheme="minorBidi"/>
                <w:sz w:val="18"/>
                <w:szCs w:val="18"/>
              </w:rPr>
            </w:pPr>
          </w:p>
        </w:tc>
        <w:tc>
          <w:tcPr>
            <w:tcW w:w="1853" w:type="dxa"/>
            <w:tcBorders>
              <w:top w:val="single"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53" w:type="dxa"/>
            <w:tcBorders>
              <w:top w:val="single"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76" w:type="dxa"/>
            <w:tcBorders>
              <w:top w:val="single"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692" w:type="dxa"/>
            <w:tcBorders>
              <w:top w:val="single" w:sz="4" w:space="0" w:color="auto"/>
              <w:left w:val="dotted" w:sz="4" w:space="0" w:color="auto"/>
              <w:bottom w:val="dotted" w:sz="4" w:space="0" w:color="auto"/>
            </w:tcBorders>
            <w:vAlign w:val="center"/>
          </w:tcPr>
          <w:p w:rsidR="00BF3592" w:rsidRPr="00025B12" w:rsidRDefault="00BF3592"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BF3592" w:rsidRPr="00025B12" w:rsidTr="00314709">
        <w:trPr>
          <w:trHeight w:val="360"/>
        </w:trPr>
        <w:tc>
          <w:tcPr>
            <w:tcW w:w="1414" w:type="dxa"/>
            <w:tcBorders>
              <w:top w:val="dotted" w:sz="4" w:space="0" w:color="auto"/>
              <w:bottom w:val="dotted" w:sz="4" w:space="0" w:color="auto"/>
              <w:right w:val="dotted" w:sz="4" w:space="0" w:color="auto"/>
            </w:tcBorders>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853"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53"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76"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92" w:type="dxa"/>
            <w:tcBorders>
              <w:top w:val="dotted" w:sz="4" w:space="0" w:color="auto"/>
              <w:left w:val="dotted" w:sz="4" w:space="0" w:color="auto"/>
              <w:bottom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BF3592" w:rsidRPr="00025B12" w:rsidTr="00314709">
        <w:trPr>
          <w:trHeight w:val="360"/>
        </w:trPr>
        <w:tc>
          <w:tcPr>
            <w:tcW w:w="1414" w:type="dxa"/>
            <w:tcBorders>
              <w:top w:val="dotted" w:sz="4" w:space="0" w:color="auto"/>
              <w:bottom w:val="dotted" w:sz="4" w:space="0" w:color="auto"/>
              <w:right w:val="dotted" w:sz="4" w:space="0" w:color="auto"/>
            </w:tcBorders>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853"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hAnsi="Verdana"/>
                <w:sz w:val="18"/>
                <w:szCs w:val="18"/>
              </w:rPr>
              <w:t>Živnostenský rejstřík</w:t>
            </w:r>
          </w:p>
        </w:tc>
        <w:tc>
          <w:tcPr>
            <w:tcW w:w="2253"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MPO</w:t>
            </w:r>
          </w:p>
        </w:tc>
        <w:tc>
          <w:tcPr>
            <w:tcW w:w="2076"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92" w:type="dxa"/>
            <w:tcBorders>
              <w:top w:val="dotted" w:sz="4" w:space="0" w:color="auto"/>
              <w:left w:val="dotted" w:sz="4" w:space="0" w:color="auto"/>
              <w:bottom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BF3592" w:rsidRPr="00025B12" w:rsidTr="00314709">
        <w:trPr>
          <w:trHeight w:val="360"/>
        </w:trPr>
        <w:tc>
          <w:tcPr>
            <w:tcW w:w="1414" w:type="dxa"/>
            <w:tcBorders>
              <w:top w:val="dotted" w:sz="4" w:space="0" w:color="auto"/>
              <w:right w:val="dotted" w:sz="4" w:space="0" w:color="auto"/>
            </w:tcBorders>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853" w:type="dxa"/>
            <w:tcBorders>
              <w:top w:val="dotted" w:sz="4" w:space="0" w:color="auto"/>
              <w:left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53" w:type="dxa"/>
            <w:tcBorders>
              <w:top w:val="dotted" w:sz="4" w:space="0" w:color="auto"/>
              <w:left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76" w:type="dxa"/>
            <w:tcBorders>
              <w:top w:val="dotted" w:sz="4" w:space="0" w:color="auto"/>
              <w:left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1692" w:type="dxa"/>
            <w:tcBorders>
              <w:top w:val="dotted" w:sz="4" w:space="0" w:color="auto"/>
              <w:lef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BF3592" w:rsidRPr="00025B12" w:rsidTr="00314709">
        <w:trPr>
          <w:trHeight w:val="274"/>
        </w:trPr>
        <w:tc>
          <w:tcPr>
            <w:tcW w:w="7596" w:type="dxa"/>
            <w:gridSpan w:val="4"/>
            <w:shd w:val="clear" w:color="auto" w:fill="663399"/>
          </w:tcPr>
          <w:p w:rsidR="00BF3592" w:rsidRPr="00025B12" w:rsidRDefault="00BF3592" w:rsidP="0085505C">
            <w:pPr>
              <w:spacing w:after="0" w:line="240" w:lineRule="auto"/>
              <w:jc w:val="center"/>
              <w:rPr>
                <w:rFonts w:ascii="Verdana" w:eastAsiaTheme="minorHAnsi" w:hAnsi="Verdana" w:cstheme="minorBidi"/>
                <w:sz w:val="18"/>
                <w:szCs w:val="18"/>
              </w:rPr>
            </w:pPr>
          </w:p>
        </w:tc>
        <w:tc>
          <w:tcPr>
            <w:tcW w:w="1692" w:type="dxa"/>
            <w:shd w:val="clear" w:color="auto" w:fill="663399"/>
          </w:tcPr>
          <w:p w:rsidR="00BF3592" w:rsidRPr="00025B12" w:rsidRDefault="00BF3592" w:rsidP="0085505C">
            <w:pPr>
              <w:spacing w:after="0" w:line="240" w:lineRule="auto"/>
              <w:jc w:val="center"/>
              <w:rPr>
                <w:rFonts w:ascii="Verdana" w:eastAsiaTheme="minorHAnsi" w:hAnsi="Verdana" w:cstheme="minorBidi"/>
                <w:sz w:val="18"/>
                <w:szCs w:val="18"/>
              </w:rPr>
            </w:pPr>
          </w:p>
        </w:tc>
      </w:tr>
      <w:tr w:rsidR="00BF3592" w:rsidRPr="00025B12" w:rsidTr="00BF3592">
        <w:trPr>
          <w:trHeight w:val="1319"/>
        </w:trPr>
        <w:tc>
          <w:tcPr>
            <w:tcW w:w="9288" w:type="dxa"/>
            <w:gridSpan w:val="5"/>
          </w:tcPr>
          <w:p w:rsidR="00BF3592" w:rsidRPr="00025B12" w:rsidRDefault="00BF3592" w:rsidP="0085505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BF3592" w:rsidRPr="00025B12" w:rsidRDefault="00BF3592" w:rsidP="0085505C">
            <w:pPr>
              <w:jc w:val="both"/>
              <w:rPr>
                <w:rFonts w:ascii="Verdana" w:hAnsi="Verdana"/>
                <w:sz w:val="18"/>
                <w:szCs w:val="18"/>
              </w:rPr>
            </w:pPr>
            <w:r w:rsidRPr="00025B12">
              <w:rPr>
                <w:rFonts w:ascii="Verdana" w:hAnsi="Verdana"/>
                <w:sz w:val="18"/>
                <w:szCs w:val="18"/>
              </w:rPr>
              <w:t>Indikátor chce na základě administrativních dat zjistit počet institucí, které mohou poskytovat další vzdělávání.</w:t>
            </w:r>
          </w:p>
        </w:tc>
      </w:tr>
      <w:tr w:rsidR="00BF3592" w:rsidRPr="00025B12" w:rsidTr="00BF3592">
        <w:trPr>
          <w:trHeight w:val="1485"/>
        </w:trPr>
        <w:tc>
          <w:tcPr>
            <w:tcW w:w="9288" w:type="dxa"/>
            <w:gridSpan w:val="5"/>
          </w:tcPr>
          <w:p w:rsidR="00BF3592" w:rsidRPr="00025B12" w:rsidRDefault="00BF3592" w:rsidP="0085505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BF3592" w:rsidRPr="00025B12" w:rsidRDefault="00BF3592" w:rsidP="0085505C">
            <w:pPr>
              <w:jc w:val="both"/>
              <w:rPr>
                <w:rFonts w:ascii="Verdana" w:hAnsi="Verdana"/>
                <w:sz w:val="18"/>
                <w:szCs w:val="18"/>
              </w:rPr>
            </w:pPr>
            <w:r w:rsidRPr="00025B12">
              <w:rPr>
                <w:rFonts w:ascii="Verdana" w:hAnsi="Verdana"/>
                <w:sz w:val="18"/>
                <w:szCs w:val="18"/>
              </w:rPr>
              <w:t>Indikátor je vypočten jako počet právnických osob, které mají oprávnění k poskytování dalšího vzdělávání.</w:t>
            </w:r>
          </w:p>
        </w:tc>
      </w:tr>
      <w:tr w:rsidR="00BF3592" w:rsidRPr="00025B12" w:rsidTr="00BF3592">
        <w:trPr>
          <w:trHeight w:val="1053"/>
        </w:trPr>
        <w:tc>
          <w:tcPr>
            <w:tcW w:w="9288" w:type="dxa"/>
            <w:gridSpan w:val="5"/>
          </w:tcPr>
          <w:p w:rsidR="00BF3592" w:rsidRPr="00025B12" w:rsidRDefault="00BF3592" w:rsidP="0085505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BF3592" w:rsidRPr="00025B12" w:rsidRDefault="00BF3592" w:rsidP="0085505C">
            <w:pPr>
              <w:jc w:val="both"/>
              <w:rPr>
                <w:rFonts w:ascii="Verdana" w:hAnsi="Verdana"/>
                <w:sz w:val="18"/>
                <w:szCs w:val="18"/>
              </w:rPr>
            </w:pPr>
            <w:r w:rsidRPr="00025B12">
              <w:rPr>
                <w:rFonts w:ascii="Verdana" w:hAnsi="Verdana"/>
                <w:sz w:val="18"/>
                <w:szCs w:val="18"/>
              </w:rPr>
              <w:t>Data pro indikátor by mohla být získávána z živnostenského rejstříku, popř. administrativního systému ARES, v současné době však nejsou veřejně přístupné ve formě umožňující statistické zpracování.</w:t>
            </w:r>
          </w:p>
        </w:tc>
      </w:tr>
      <w:tr w:rsidR="00BF3592" w:rsidRPr="00025B12" w:rsidTr="00BF3592">
        <w:trPr>
          <w:trHeight w:val="837"/>
        </w:trPr>
        <w:tc>
          <w:tcPr>
            <w:tcW w:w="9288" w:type="dxa"/>
            <w:gridSpan w:val="5"/>
          </w:tcPr>
          <w:p w:rsidR="00BF3592" w:rsidRPr="00025B12" w:rsidRDefault="00BF3592" w:rsidP="0085505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BF3592" w:rsidRPr="00025B12" w:rsidRDefault="00BF3592" w:rsidP="0085505C">
            <w:pPr>
              <w:jc w:val="both"/>
              <w:rPr>
                <w:rFonts w:ascii="Verdana" w:hAnsi="Verdana"/>
                <w:sz w:val="18"/>
                <w:szCs w:val="18"/>
              </w:rPr>
            </w:pPr>
            <w:r w:rsidRPr="00025B12">
              <w:rPr>
                <w:rFonts w:ascii="Verdana" w:hAnsi="Verdana"/>
                <w:sz w:val="18"/>
                <w:szCs w:val="18"/>
              </w:rPr>
              <w:t xml:space="preserve">Po diskuzi s experty bylo od indikátoru upuštěno, neboť počty oprávnění nekorespondují se skutečným rozsahem institucionálních kapacit pro DV (DV je volná živnost, může být poskytováno v rámci poradenství či dalších činností nebo naopak instituce, kteří mají oprávnění, nemusejí tuto činnost skutečně vykonávat). </w:t>
            </w:r>
          </w:p>
        </w:tc>
      </w:tr>
    </w:tbl>
    <w:p w:rsidR="00314709" w:rsidRPr="00025B12" w:rsidRDefault="00314709" w:rsidP="005E51C1">
      <w:pPr>
        <w:jc w:val="both"/>
        <w:rPr>
          <w:rFonts w:ascii="Verdana" w:hAnsi="Verdana"/>
          <w:sz w:val="20"/>
          <w:szCs w:val="20"/>
        </w:rPr>
      </w:pPr>
    </w:p>
    <w:p w:rsidR="00BF3592" w:rsidRPr="00025B12" w:rsidRDefault="00314709" w:rsidP="005E51C1">
      <w:pPr>
        <w:jc w:val="both"/>
        <w:rPr>
          <w:rFonts w:ascii="Verdana" w:hAnsi="Verdana"/>
          <w:sz w:val="20"/>
          <w:szCs w:val="20"/>
        </w:rPr>
      </w:pPr>
      <w:r w:rsidRPr="00025B12">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48"/>
        <w:gridCol w:w="2220"/>
        <w:gridCol w:w="2034"/>
        <w:gridCol w:w="2069"/>
      </w:tblGrid>
      <w:tr w:rsidR="001448D9" w:rsidRPr="00025B12" w:rsidTr="00424CD3">
        <w:trPr>
          <w:trHeight w:val="425"/>
        </w:trPr>
        <w:tc>
          <w:tcPr>
            <w:tcW w:w="1417" w:type="dxa"/>
            <w:tcBorders>
              <w:bottom w:val="single" w:sz="4" w:space="0" w:color="auto"/>
              <w:right w:val="single" w:sz="4" w:space="0" w:color="auto"/>
            </w:tcBorders>
            <w:shd w:val="clear" w:color="auto" w:fill="663399"/>
            <w:vAlign w:val="center"/>
          </w:tcPr>
          <w:p w:rsidR="001448D9" w:rsidRPr="00025B12" w:rsidRDefault="001448D9" w:rsidP="00304766">
            <w:pPr>
              <w:pStyle w:val="Kd"/>
              <w:rPr>
                <w:sz w:val="18"/>
                <w:szCs w:val="18"/>
              </w:rPr>
            </w:pPr>
            <w:r w:rsidRPr="00025B12">
              <w:rPr>
                <w:sz w:val="18"/>
                <w:szCs w:val="18"/>
              </w:rPr>
              <w:br w:type="page"/>
            </w:r>
            <w:r w:rsidRPr="00025B12">
              <w:rPr>
                <w:sz w:val="18"/>
                <w:szCs w:val="18"/>
              </w:rPr>
              <w:br w:type="page"/>
            </w:r>
            <w:bookmarkStart w:id="138" w:name="prisp"/>
            <w:r w:rsidR="00304766" w:rsidRPr="00025B12">
              <w:rPr>
                <w:sz w:val="18"/>
                <w:szCs w:val="18"/>
              </w:rPr>
              <w:t>-</w:t>
            </w:r>
            <w:bookmarkEnd w:id="138"/>
          </w:p>
        </w:tc>
        <w:tc>
          <w:tcPr>
            <w:tcW w:w="7871" w:type="dxa"/>
            <w:gridSpan w:val="4"/>
            <w:vMerge w:val="restart"/>
            <w:tcBorders>
              <w:top w:val="single" w:sz="4" w:space="0" w:color="auto"/>
              <w:left w:val="single" w:sz="4" w:space="0" w:color="auto"/>
              <w:right w:val="single" w:sz="4" w:space="0" w:color="auto"/>
            </w:tcBorders>
            <w:shd w:val="clear" w:color="auto" w:fill="663399"/>
            <w:vAlign w:val="center"/>
          </w:tcPr>
          <w:p w:rsidR="001448D9" w:rsidRPr="00025B12" w:rsidRDefault="001448D9" w:rsidP="00424CD3">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Příspěvky zaměstnavatelů do společných fondů na další odborné vzdělávání</w:t>
            </w:r>
          </w:p>
        </w:tc>
      </w:tr>
      <w:tr w:rsidR="001448D9" w:rsidRPr="00025B12" w:rsidTr="00424CD3">
        <w:trPr>
          <w:trHeight w:val="360"/>
        </w:trPr>
        <w:tc>
          <w:tcPr>
            <w:tcW w:w="1417" w:type="dxa"/>
            <w:tcBorders>
              <w:top w:val="single" w:sz="4" w:space="0" w:color="auto"/>
              <w:bottom w:val="single" w:sz="4" w:space="0" w:color="auto"/>
              <w:right w:val="single" w:sz="4" w:space="0" w:color="auto"/>
            </w:tcBorders>
            <w:shd w:val="clear" w:color="auto" w:fill="663399"/>
            <w:vAlign w:val="center"/>
          </w:tcPr>
          <w:p w:rsidR="001448D9" w:rsidRPr="00025B12" w:rsidRDefault="00304766" w:rsidP="00424CD3">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Vyřazen</w:t>
            </w:r>
          </w:p>
        </w:tc>
        <w:tc>
          <w:tcPr>
            <w:tcW w:w="7871" w:type="dxa"/>
            <w:gridSpan w:val="4"/>
            <w:vMerge/>
            <w:tcBorders>
              <w:left w:val="single" w:sz="4" w:space="0" w:color="auto"/>
              <w:bottom w:val="single" w:sz="4" w:space="0" w:color="auto"/>
              <w:right w:val="single" w:sz="4" w:space="0" w:color="auto"/>
            </w:tcBorders>
            <w:vAlign w:val="center"/>
          </w:tcPr>
          <w:p w:rsidR="001448D9" w:rsidRPr="00025B12" w:rsidRDefault="001448D9" w:rsidP="00424CD3">
            <w:pPr>
              <w:spacing w:after="0" w:line="240" w:lineRule="auto"/>
              <w:jc w:val="center"/>
              <w:rPr>
                <w:rFonts w:ascii="Verdana" w:eastAsiaTheme="minorHAnsi" w:hAnsi="Verdana" w:cstheme="minorBidi"/>
                <w:sz w:val="18"/>
                <w:szCs w:val="18"/>
              </w:rPr>
            </w:pPr>
          </w:p>
        </w:tc>
      </w:tr>
      <w:tr w:rsidR="001448D9" w:rsidRPr="00025B12" w:rsidTr="00296FE3">
        <w:trPr>
          <w:trHeight w:val="360"/>
        </w:trPr>
        <w:tc>
          <w:tcPr>
            <w:tcW w:w="1417" w:type="dxa"/>
            <w:tcBorders>
              <w:top w:val="single" w:sz="4" w:space="0" w:color="auto"/>
              <w:bottom w:val="dotted" w:sz="4" w:space="0" w:color="auto"/>
              <w:right w:val="dotted" w:sz="4" w:space="0" w:color="auto"/>
            </w:tcBorders>
          </w:tcPr>
          <w:p w:rsidR="001448D9" w:rsidRPr="00025B12" w:rsidRDefault="001448D9" w:rsidP="00424CD3">
            <w:pPr>
              <w:spacing w:after="0" w:line="240" w:lineRule="auto"/>
              <w:jc w:val="center"/>
              <w:rPr>
                <w:rFonts w:ascii="Verdana" w:eastAsiaTheme="minorHAnsi" w:hAnsi="Verdana" w:cstheme="minorBidi"/>
                <w:sz w:val="18"/>
                <w:szCs w:val="18"/>
              </w:rPr>
            </w:pPr>
          </w:p>
        </w:tc>
        <w:tc>
          <w:tcPr>
            <w:tcW w:w="1548" w:type="dxa"/>
            <w:tcBorders>
              <w:top w:val="single" w:sz="4" w:space="0" w:color="auto"/>
              <w:left w:val="dotted" w:sz="4" w:space="0" w:color="auto"/>
              <w:bottom w:val="dotted" w:sz="4" w:space="0" w:color="auto"/>
              <w:right w:val="dotted" w:sz="4" w:space="0" w:color="auto"/>
            </w:tcBorders>
            <w:vAlign w:val="center"/>
          </w:tcPr>
          <w:p w:rsidR="001448D9" w:rsidRPr="00025B12" w:rsidRDefault="001448D9" w:rsidP="00424CD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220" w:type="dxa"/>
            <w:tcBorders>
              <w:top w:val="single" w:sz="4" w:space="0" w:color="auto"/>
              <w:left w:val="dotted" w:sz="4" w:space="0" w:color="auto"/>
              <w:bottom w:val="dotted" w:sz="4" w:space="0" w:color="auto"/>
              <w:right w:val="dotted" w:sz="4" w:space="0" w:color="auto"/>
            </w:tcBorders>
            <w:vAlign w:val="center"/>
          </w:tcPr>
          <w:p w:rsidR="001448D9" w:rsidRPr="00025B12" w:rsidRDefault="001448D9" w:rsidP="00424CD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034" w:type="dxa"/>
            <w:tcBorders>
              <w:top w:val="single" w:sz="4" w:space="0" w:color="auto"/>
              <w:left w:val="dotted" w:sz="4" w:space="0" w:color="auto"/>
              <w:bottom w:val="dotted" w:sz="4" w:space="0" w:color="auto"/>
              <w:right w:val="dotted" w:sz="4" w:space="0" w:color="auto"/>
            </w:tcBorders>
            <w:vAlign w:val="center"/>
          </w:tcPr>
          <w:p w:rsidR="001448D9" w:rsidRPr="00025B12" w:rsidRDefault="001448D9" w:rsidP="00424CD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2069" w:type="dxa"/>
            <w:tcBorders>
              <w:top w:val="single" w:sz="4" w:space="0" w:color="auto"/>
              <w:left w:val="dotted" w:sz="4" w:space="0" w:color="auto"/>
              <w:bottom w:val="dotted" w:sz="4" w:space="0" w:color="auto"/>
            </w:tcBorders>
            <w:vAlign w:val="center"/>
          </w:tcPr>
          <w:p w:rsidR="001448D9" w:rsidRPr="00025B12" w:rsidRDefault="001448D9"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1448D9" w:rsidRPr="00025B12" w:rsidTr="00424CD3">
        <w:trPr>
          <w:trHeight w:val="360"/>
        </w:trPr>
        <w:tc>
          <w:tcPr>
            <w:tcW w:w="1417" w:type="dxa"/>
            <w:tcBorders>
              <w:top w:val="dotted" w:sz="4" w:space="0" w:color="auto"/>
              <w:bottom w:val="dotted" w:sz="4" w:space="0" w:color="auto"/>
              <w:right w:val="dotted" w:sz="4" w:space="0" w:color="auto"/>
            </w:tcBorders>
          </w:tcPr>
          <w:p w:rsidR="001448D9" w:rsidRPr="00025B12" w:rsidRDefault="001448D9" w:rsidP="00424CD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548" w:type="dxa"/>
            <w:tcBorders>
              <w:top w:val="dotted" w:sz="4" w:space="0" w:color="auto"/>
              <w:left w:val="dotted" w:sz="4" w:space="0" w:color="auto"/>
              <w:bottom w:val="dotted" w:sz="4" w:space="0" w:color="auto"/>
              <w:right w:val="dotted" w:sz="4" w:space="0" w:color="auto"/>
            </w:tcBorders>
            <w:vAlign w:val="center"/>
          </w:tcPr>
          <w:p w:rsidR="001448D9" w:rsidRPr="00025B12" w:rsidRDefault="00665F1D" w:rsidP="00424CD3">
            <w:pPr>
              <w:spacing w:after="0" w:line="240" w:lineRule="auto"/>
              <w:jc w:val="center"/>
              <w:rPr>
                <w:rFonts w:ascii="Verdana" w:eastAsiaTheme="minorHAnsi" w:hAnsi="Verdana" w:cstheme="minorBidi"/>
                <w:sz w:val="18"/>
                <w:szCs w:val="18"/>
              </w:rPr>
            </w:pPr>
            <w:hyperlink w:anchor="CVTS" w:history="1">
              <w:r w:rsidR="001448D9"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1448D9" w:rsidRPr="00025B12" w:rsidRDefault="001448D9" w:rsidP="00424CD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034" w:type="dxa"/>
            <w:tcBorders>
              <w:top w:val="dotted" w:sz="4" w:space="0" w:color="auto"/>
              <w:left w:val="dotted" w:sz="4" w:space="0" w:color="auto"/>
              <w:bottom w:val="dotted" w:sz="4" w:space="0" w:color="auto"/>
              <w:right w:val="dotted" w:sz="4" w:space="0" w:color="auto"/>
            </w:tcBorders>
            <w:vAlign w:val="center"/>
          </w:tcPr>
          <w:p w:rsidR="001448D9" w:rsidRPr="00025B12" w:rsidRDefault="001448D9" w:rsidP="00424CD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1448D9" w:rsidRPr="00025B12" w:rsidRDefault="001448D9" w:rsidP="00424CD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1448D9" w:rsidRPr="00025B12" w:rsidTr="00424CD3">
        <w:trPr>
          <w:trHeight w:val="360"/>
        </w:trPr>
        <w:tc>
          <w:tcPr>
            <w:tcW w:w="1417" w:type="dxa"/>
            <w:tcBorders>
              <w:top w:val="dotted" w:sz="4" w:space="0" w:color="auto"/>
              <w:bottom w:val="dotted" w:sz="4" w:space="0" w:color="auto"/>
              <w:right w:val="dotted" w:sz="4" w:space="0" w:color="auto"/>
            </w:tcBorders>
          </w:tcPr>
          <w:p w:rsidR="001448D9" w:rsidRPr="00025B12" w:rsidRDefault="001448D9" w:rsidP="00424CD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548" w:type="dxa"/>
            <w:tcBorders>
              <w:top w:val="dotted" w:sz="4" w:space="0" w:color="auto"/>
              <w:left w:val="dotted" w:sz="4" w:space="0" w:color="auto"/>
              <w:bottom w:val="dotted" w:sz="4" w:space="0" w:color="auto"/>
              <w:right w:val="dotted" w:sz="4" w:space="0" w:color="auto"/>
            </w:tcBorders>
            <w:vAlign w:val="center"/>
          </w:tcPr>
          <w:p w:rsidR="001448D9" w:rsidRPr="00025B12" w:rsidRDefault="00665F1D" w:rsidP="00424CD3">
            <w:pPr>
              <w:spacing w:after="0" w:line="240" w:lineRule="auto"/>
              <w:jc w:val="center"/>
              <w:rPr>
                <w:rFonts w:ascii="Verdana" w:eastAsiaTheme="minorHAnsi" w:hAnsi="Verdana" w:cstheme="minorBidi"/>
                <w:sz w:val="18"/>
                <w:szCs w:val="18"/>
              </w:rPr>
            </w:pPr>
            <w:hyperlink w:anchor="CVTS" w:history="1">
              <w:r w:rsidR="001448D9" w:rsidRPr="00025B12">
                <w:rPr>
                  <w:rStyle w:val="Hypertextovodkaz"/>
                  <w:rFonts w:ascii="Verdana" w:eastAsiaTheme="minorHAnsi" w:hAnsi="Verdana" w:cstheme="minorBidi"/>
                  <w:sz w:val="18"/>
                  <w:szCs w:val="18"/>
                </w:rPr>
                <w:t>CVTS</w:t>
              </w:r>
            </w:hyperlink>
          </w:p>
        </w:tc>
        <w:tc>
          <w:tcPr>
            <w:tcW w:w="2220" w:type="dxa"/>
            <w:tcBorders>
              <w:top w:val="dotted" w:sz="4" w:space="0" w:color="auto"/>
              <w:left w:val="dotted" w:sz="4" w:space="0" w:color="auto"/>
              <w:bottom w:val="dotted" w:sz="4" w:space="0" w:color="auto"/>
              <w:right w:val="dotted" w:sz="4" w:space="0" w:color="auto"/>
            </w:tcBorders>
            <w:vAlign w:val="center"/>
          </w:tcPr>
          <w:p w:rsidR="001448D9" w:rsidRPr="00025B12" w:rsidRDefault="001448D9" w:rsidP="00424CD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034" w:type="dxa"/>
            <w:tcBorders>
              <w:top w:val="dotted" w:sz="4" w:space="0" w:color="auto"/>
              <w:left w:val="dotted" w:sz="4" w:space="0" w:color="auto"/>
              <w:bottom w:val="dotted" w:sz="4" w:space="0" w:color="auto"/>
              <w:right w:val="dotted" w:sz="4" w:space="0" w:color="auto"/>
            </w:tcBorders>
            <w:vAlign w:val="center"/>
          </w:tcPr>
          <w:p w:rsidR="001448D9" w:rsidRPr="00025B12" w:rsidRDefault="001448D9" w:rsidP="00424CD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5 let</w:t>
            </w:r>
          </w:p>
        </w:tc>
        <w:tc>
          <w:tcPr>
            <w:tcW w:w="2069" w:type="dxa"/>
            <w:tcBorders>
              <w:top w:val="dotted" w:sz="4" w:space="0" w:color="auto"/>
              <w:left w:val="dotted" w:sz="4" w:space="0" w:color="auto"/>
              <w:bottom w:val="dotted" w:sz="4" w:space="0" w:color="auto"/>
            </w:tcBorders>
            <w:vAlign w:val="center"/>
          </w:tcPr>
          <w:p w:rsidR="001448D9" w:rsidRPr="00025B12" w:rsidRDefault="001448D9" w:rsidP="00424CD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1999,2005,(2010)</w:t>
            </w:r>
          </w:p>
        </w:tc>
      </w:tr>
      <w:tr w:rsidR="001448D9" w:rsidRPr="00025B12" w:rsidTr="00424CD3">
        <w:trPr>
          <w:trHeight w:val="360"/>
        </w:trPr>
        <w:tc>
          <w:tcPr>
            <w:tcW w:w="1417" w:type="dxa"/>
            <w:tcBorders>
              <w:top w:val="dotted" w:sz="4" w:space="0" w:color="auto"/>
              <w:right w:val="dotted" w:sz="4" w:space="0" w:color="auto"/>
            </w:tcBorders>
          </w:tcPr>
          <w:p w:rsidR="001448D9" w:rsidRPr="00025B12" w:rsidRDefault="001448D9" w:rsidP="00424CD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548" w:type="dxa"/>
            <w:tcBorders>
              <w:top w:val="dotted" w:sz="4" w:space="0" w:color="auto"/>
              <w:left w:val="dotted" w:sz="4" w:space="0" w:color="auto"/>
              <w:right w:val="dotted" w:sz="4" w:space="0" w:color="auto"/>
            </w:tcBorders>
            <w:vAlign w:val="center"/>
          </w:tcPr>
          <w:p w:rsidR="001448D9" w:rsidRPr="00025B12" w:rsidRDefault="001448D9" w:rsidP="00424CD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220" w:type="dxa"/>
            <w:tcBorders>
              <w:top w:val="dotted" w:sz="4" w:space="0" w:color="auto"/>
              <w:left w:val="dotted" w:sz="4" w:space="0" w:color="auto"/>
              <w:right w:val="dotted" w:sz="4" w:space="0" w:color="auto"/>
            </w:tcBorders>
            <w:vAlign w:val="center"/>
          </w:tcPr>
          <w:p w:rsidR="001448D9" w:rsidRPr="00025B12" w:rsidRDefault="001448D9" w:rsidP="00424CD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34" w:type="dxa"/>
            <w:tcBorders>
              <w:top w:val="dotted" w:sz="4" w:space="0" w:color="auto"/>
              <w:left w:val="dotted" w:sz="4" w:space="0" w:color="auto"/>
              <w:right w:val="dotted" w:sz="4" w:space="0" w:color="auto"/>
            </w:tcBorders>
            <w:vAlign w:val="center"/>
          </w:tcPr>
          <w:p w:rsidR="001448D9" w:rsidRPr="00025B12" w:rsidRDefault="001448D9" w:rsidP="00424CD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c>
          <w:tcPr>
            <w:tcW w:w="2069" w:type="dxa"/>
            <w:tcBorders>
              <w:top w:val="dotted" w:sz="4" w:space="0" w:color="auto"/>
              <w:left w:val="dotted" w:sz="4" w:space="0" w:color="auto"/>
            </w:tcBorders>
            <w:vAlign w:val="center"/>
          </w:tcPr>
          <w:p w:rsidR="001448D9" w:rsidRPr="00025B12" w:rsidRDefault="001448D9" w:rsidP="00424CD3">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w:t>
            </w:r>
          </w:p>
        </w:tc>
      </w:tr>
      <w:tr w:rsidR="001448D9" w:rsidRPr="00025B12" w:rsidTr="00424CD3">
        <w:trPr>
          <w:trHeight w:val="274"/>
        </w:trPr>
        <w:tc>
          <w:tcPr>
            <w:tcW w:w="7219" w:type="dxa"/>
            <w:gridSpan w:val="4"/>
            <w:shd w:val="clear" w:color="auto" w:fill="663399"/>
          </w:tcPr>
          <w:p w:rsidR="001448D9" w:rsidRPr="00025B12" w:rsidRDefault="001448D9" w:rsidP="00424CD3">
            <w:pPr>
              <w:spacing w:after="0" w:line="240" w:lineRule="auto"/>
              <w:jc w:val="center"/>
              <w:rPr>
                <w:rFonts w:ascii="Verdana" w:eastAsiaTheme="minorHAnsi" w:hAnsi="Verdana" w:cstheme="minorBidi"/>
                <w:sz w:val="18"/>
                <w:szCs w:val="18"/>
              </w:rPr>
            </w:pPr>
          </w:p>
        </w:tc>
        <w:tc>
          <w:tcPr>
            <w:tcW w:w="2069" w:type="dxa"/>
            <w:shd w:val="clear" w:color="auto" w:fill="663399"/>
          </w:tcPr>
          <w:p w:rsidR="001448D9" w:rsidRPr="00025B12" w:rsidRDefault="001448D9" w:rsidP="00424CD3">
            <w:pPr>
              <w:spacing w:after="0" w:line="240" w:lineRule="auto"/>
              <w:jc w:val="center"/>
              <w:rPr>
                <w:rFonts w:ascii="Verdana" w:eastAsiaTheme="minorHAnsi" w:hAnsi="Verdana" w:cstheme="minorBidi"/>
                <w:sz w:val="18"/>
                <w:szCs w:val="18"/>
              </w:rPr>
            </w:pPr>
          </w:p>
        </w:tc>
      </w:tr>
      <w:tr w:rsidR="001448D9" w:rsidRPr="00025B12" w:rsidTr="00424CD3">
        <w:trPr>
          <w:trHeight w:val="1319"/>
        </w:trPr>
        <w:tc>
          <w:tcPr>
            <w:tcW w:w="9288" w:type="dxa"/>
            <w:gridSpan w:val="5"/>
          </w:tcPr>
          <w:p w:rsidR="001448D9" w:rsidRPr="00025B12" w:rsidRDefault="001448D9" w:rsidP="00424CD3">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1448D9" w:rsidRPr="00025B12" w:rsidRDefault="001448D9" w:rsidP="00424CD3">
            <w:pPr>
              <w:jc w:val="both"/>
              <w:rPr>
                <w:rFonts w:ascii="Verdana" w:hAnsi="Verdana"/>
                <w:sz w:val="18"/>
                <w:szCs w:val="18"/>
              </w:rPr>
            </w:pPr>
            <w:r w:rsidRPr="00025B12">
              <w:rPr>
                <w:rFonts w:ascii="Verdana" w:hAnsi="Verdana"/>
                <w:sz w:val="18"/>
                <w:szCs w:val="18"/>
              </w:rPr>
              <w:t xml:space="preserve">Indikátor odráží míru, do jaké je financování podnikového vzdělávání individuální záležitostí každého podniku a v jaké míře se projevuje určitá solidarita či přerozdělování v rámci sdružení podniků, odborů, případně státu. Toto přerozdělování nemusí mít podobu absolutního přerozdělování, ale může jít o přerozdělování pouze z časového hlediska, neboť výdaje na vzdělávání nemusí být realizovány rovnoměrně, ale mohou být koncentrovány do určitého období. </w:t>
            </w:r>
          </w:p>
          <w:p w:rsidR="001448D9" w:rsidRPr="00025B12" w:rsidRDefault="001448D9" w:rsidP="00424CD3">
            <w:pPr>
              <w:jc w:val="both"/>
              <w:rPr>
                <w:rFonts w:ascii="Verdana" w:hAnsi="Verdana"/>
                <w:sz w:val="18"/>
                <w:szCs w:val="18"/>
              </w:rPr>
            </w:pPr>
            <w:r w:rsidRPr="00025B12">
              <w:rPr>
                <w:rFonts w:ascii="Verdana" w:hAnsi="Verdana"/>
                <w:sz w:val="18"/>
                <w:szCs w:val="18"/>
              </w:rPr>
              <w:t>Nulová hodnota indikátoru značí, že v dané zemi žádné takové společné fondy pro financování podnikového vzdělávání neexistují</w:t>
            </w:r>
            <w:r w:rsidR="00B50813" w:rsidRPr="00025B12">
              <w:rPr>
                <w:rFonts w:ascii="Verdana" w:hAnsi="Verdana"/>
                <w:sz w:val="18"/>
                <w:szCs w:val="18"/>
              </w:rPr>
              <w:t xml:space="preserve"> nebo do nich podniky v daném roce téměř nepřispívaly</w:t>
            </w:r>
            <w:r w:rsidRPr="00025B12">
              <w:rPr>
                <w:rFonts w:ascii="Verdana" w:hAnsi="Verdana"/>
                <w:sz w:val="18"/>
                <w:szCs w:val="18"/>
              </w:rPr>
              <w:t>. Vysoká hodnota indikuje vysokou míru spolupráce podniků na financování podnikového vzdělávání. Indikátor však neumožňuje identifikovat, zda se jedná o společnou iniciativu podniků nebo vládou řízený fond.</w:t>
            </w:r>
          </w:p>
        </w:tc>
      </w:tr>
      <w:tr w:rsidR="001448D9" w:rsidRPr="00025B12" w:rsidTr="00424CD3">
        <w:trPr>
          <w:trHeight w:val="1485"/>
        </w:trPr>
        <w:tc>
          <w:tcPr>
            <w:tcW w:w="9288" w:type="dxa"/>
            <w:gridSpan w:val="5"/>
          </w:tcPr>
          <w:p w:rsidR="001448D9" w:rsidRPr="00025B12" w:rsidRDefault="001448D9" w:rsidP="00424CD3">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1448D9" w:rsidRPr="00025B12" w:rsidRDefault="001448D9" w:rsidP="00424CD3">
            <w:pPr>
              <w:jc w:val="both"/>
              <w:rPr>
                <w:rFonts w:ascii="Verdana" w:hAnsi="Verdana"/>
                <w:sz w:val="18"/>
                <w:szCs w:val="18"/>
              </w:rPr>
            </w:pPr>
            <w:r w:rsidRPr="00025B12">
              <w:rPr>
                <w:rFonts w:ascii="Verdana" w:hAnsi="Verdana"/>
                <w:sz w:val="18"/>
                <w:szCs w:val="18"/>
              </w:rPr>
              <w:t>Indikátor vychází ze struktury celkových nákladů na kurzy dalšího odborného vzdělávání, které se skládají z přímých nákladů, nákladů práce účastníků a odvodů do společných fondů na vzdělávání. Indikátor je spočítán jako podíl odvodů do společných fondů na celkových nákladech na kurzy DOV.</w:t>
            </w:r>
          </w:p>
        </w:tc>
      </w:tr>
      <w:tr w:rsidR="001448D9" w:rsidRPr="00025B12" w:rsidTr="00424CD3">
        <w:trPr>
          <w:trHeight w:val="1053"/>
        </w:trPr>
        <w:tc>
          <w:tcPr>
            <w:tcW w:w="9288" w:type="dxa"/>
            <w:gridSpan w:val="5"/>
          </w:tcPr>
          <w:p w:rsidR="001448D9" w:rsidRPr="00025B12" w:rsidRDefault="001448D9" w:rsidP="00424CD3">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1448D9" w:rsidRPr="00025B12" w:rsidRDefault="001448D9" w:rsidP="00424CD3">
            <w:pPr>
              <w:jc w:val="both"/>
              <w:rPr>
                <w:rFonts w:ascii="Verdana" w:hAnsi="Verdana"/>
                <w:sz w:val="18"/>
                <w:szCs w:val="18"/>
              </w:rPr>
            </w:pPr>
            <w:r w:rsidRPr="00025B12">
              <w:rPr>
                <w:rFonts w:ascii="Verdana" w:hAnsi="Verdana"/>
                <w:sz w:val="18"/>
                <w:szCs w:val="18"/>
              </w:rPr>
              <w:t>Pro mezinárodní srovnání jsou základem pro výpočet indikátoru použita data z webových stránek Eurostatu. Regionální členění není publikováno.</w:t>
            </w:r>
          </w:p>
        </w:tc>
      </w:tr>
      <w:tr w:rsidR="001448D9" w:rsidRPr="00025B12" w:rsidTr="00424CD3">
        <w:trPr>
          <w:trHeight w:val="837"/>
        </w:trPr>
        <w:tc>
          <w:tcPr>
            <w:tcW w:w="9288" w:type="dxa"/>
            <w:gridSpan w:val="5"/>
          </w:tcPr>
          <w:p w:rsidR="001448D9" w:rsidRPr="00025B12" w:rsidRDefault="001448D9" w:rsidP="00424CD3">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1448D9" w:rsidRPr="00025B12" w:rsidRDefault="001448D9" w:rsidP="00424CD3">
            <w:pPr>
              <w:jc w:val="both"/>
              <w:rPr>
                <w:rFonts w:ascii="Verdana" w:hAnsi="Verdana"/>
                <w:sz w:val="18"/>
                <w:szCs w:val="18"/>
              </w:rPr>
            </w:pPr>
            <w:r w:rsidRPr="00025B12">
              <w:rPr>
                <w:rFonts w:ascii="Verdana" w:hAnsi="Verdana"/>
                <w:sz w:val="18"/>
                <w:szCs w:val="18"/>
              </w:rPr>
              <w:t>-</w:t>
            </w:r>
          </w:p>
        </w:tc>
      </w:tr>
    </w:tbl>
    <w:p w:rsidR="00BF3592" w:rsidRPr="00025B12" w:rsidRDefault="00BF3592" w:rsidP="005E51C1">
      <w:pPr>
        <w:jc w:val="both"/>
        <w:rPr>
          <w:rFonts w:ascii="Verdana" w:hAnsi="Verdana"/>
          <w:sz w:val="20"/>
          <w:szCs w:val="20"/>
        </w:rPr>
      </w:pPr>
    </w:p>
    <w:p w:rsidR="001448D9" w:rsidRPr="00025B12" w:rsidRDefault="00314709" w:rsidP="005E51C1">
      <w:pPr>
        <w:jc w:val="both"/>
        <w:rPr>
          <w:rFonts w:ascii="Verdana" w:hAnsi="Verdana"/>
          <w:sz w:val="20"/>
          <w:szCs w:val="20"/>
        </w:rPr>
      </w:pPr>
      <w:r w:rsidRPr="00025B12">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58"/>
        <w:gridCol w:w="2303"/>
        <w:gridCol w:w="2126"/>
        <w:gridCol w:w="1749"/>
      </w:tblGrid>
      <w:tr w:rsidR="00BF3592" w:rsidRPr="00025B12" w:rsidTr="0085505C">
        <w:trPr>
          <w:trHeight w:val="425"/>
        </w:trPr>
        <w:tc>
          <w:tcPr>
            <w:tcW w:w="1452" w:type="dxa"/>
            <w:tcBorders>
              <w:bottom w:val="single" w:sz="4" w:space="0" w:color="auto"/>
              <w:right w:val="single" w:sz="4" w:space="0" w:color="auto"/>
            </w:tcBorders>
            <w:shd w:val="clear" w:color="auto" w:fill="663399"/>
            <w:vAlign w:val="center"/>
          </w:tcPr>
          <w:p w:rsidR="00BF3592" w:rsidRPr="00025B12" w:rsidRDefault="00BF3592" w:rsidP="0085505C">
            <w:pPr>
              <w:pStyle w:val="Kd"/>
              <w:rPr>
                <w:sz w:val="18"/>
                <w:szCs w:val="18"/>
              </w:rPr>
            </w:pPr>
            <w:r w:rsidRPr="00025B12">
              <w:rPr>
                <w:sz w:val="18"/>
                <w:szCs w:val="18"/>
              </w:rPr>
              <w:br w:type="page"/>
            </w:r>
            <w:r w:rsidRPr="00025B12">
              <w:rPr>
                <w:sz w:val="18"/>
                <w:szCs w:val="18"/>
              </w:rPr>
              <w:br w:type="page"/>
            </w:r>
            <w:bookmarkStart w:id="139" w:name="Ict_skol"/>
            <w:r w:rsidRPr="00025B12">
              <w:rPr>
                <w:sz w:val="18"/>
                <w:szCs w:val="18"/>
              </w:rPr>
              <w:t>-</w:t>
            </w:r>
            <w:bookmarkEnd w:id="139"/>
          </w:p>
        </w:tc>
        <w:tc>
          <w:tcPr>
            <w:tcW w:w="7836" w:type="dxa"/>
            <w:gridSpan w:val="4"/>
            <w:vMerge w:val="restart"/>
            <w:tcBorders>
              <w:top w:val="single" w:sz="4" w:space="0" w:color="auto"/>
              <w:left w:val="single" w:sz="4" w:space="0" w:color="auto"/>
              <w:right w:val="single" w:sz="4" w:space="0" w:color="auto"/>
            </w:tcBorders>
            <w:shd w:val="clear" w:color="auto" w:fill="663399"/>
            <w:vAlign w:val="center"/>
          </w:tcPr>
          <w:p w:rsidR="00BF3592" w:rsidRPr="00025B12" w:rsidRDefault="00BF3592" w:rsidP="0085505C">
            <w:pPr>
              <w:spacing w:after="0" w:line="240" w:lineRule="auto"/>
              <w:jc w:val="center"/>
              <w:rPr>
                <w:rFonts w:ascii="Verdana" w:eastAsiaTheme="minorHAnsi" w:hAnsi="Verdana" w:cstheme="minorBidi"/>
                <w:b/>
                <w:color w:val="FFFFFF" w:themeColor="background1"/>
              </w:rPr>
            </w:pPr>
            <w:r w:rsidRPr="00025B12">
              <w:rPr>
                <w:rFonts w:ascii="Verdana" w:eastAsiaTheme="minorHAnsi" w:hAnsi="Verdana" w:cstheme="minorBidi"/>
                <w:b/>
                <w:color w:val="FFFFFF" w:themeColor="background1"/>
              </w:rPr>
              <w:t>Podniky pořádající ICT školení</w:t>
            </w:r>
          </w:p>
        </w:tc>
      </w:tr>
      <w:tr w:rsidR="00BF3592" w:rsidRPr="00025B12" w:rsidTr="0085505C">
        <w:trPr>
          <w:trHeight w:val="360"/>
        </w:trPr>
        <w:tc>
          <w:tcPr>
            <w:tcW w:w="1452" w:type="dxa"/>
            <w:tcBorders>
              <w:top w:val="single" w:sz="4" w:space="0" w:color="auto"/>
              <w:bottom w:val="single" w:sz="4" w:space="0" w:color="auto"/>
              <w:right w:val="single" w:sz="4" w:space="0" w:color="auto"/>
            </w:tcBorders>
            <w:shd w:val="clear" w:color="auto" w:fill="663399"/>
            <w:vAlign w:val="center"/>
          </w:tcPr>
          <w:p w:rsidR="00BF3592" w:rsidRPr="00025B12" w:rsidRDefault="00304766" w:rsidP="0085505C">
            <w:pPr>
              <w:spacing w:after="0" w:line="240" w:lineRule="auto"/>
              <w:jc w:val="center"/>
              <w:rPr>
                <w:rFonts w:ascii="Verdana" w:eastAsiaTheme="minorHAnsi" w:hAnsi="Verdana" w:cstheme="minorBidi"/>
                <w:b/>
                <w:color w:val="FFFFFF" w:themeColor="background1"/>
                <w:sz w:val="18"/>
                <w:szCs w:val="18"/>
              </w:rPr>
            </w:pPr>
            <w:r w:rsidRPr="00025B12">
              <w:rPr>
                <w:rFonts w:ascii="Verdana" w:eastAsiaTheme="minorHAnsi" w:hAnsi="Verdana" w:cstheme="minorBidi"/>
                <w:b/>
                <w:color w:val="FFFFFF" w:themeColor="background1"/>
                <w:sz w:val="18"/>
                <w:szCs w:val="18"/>
              </w:rPr>
              <w:t>Vyřazen</w:t>
            </w:r>
          </w:p>
        </w:tc>
        <w:tc>
          <w:tcPr>
            <w:tcW w:w="7836" w:type="dxa"/>
            <w:gridSpan w:val="4"/>
            <w:vMerge/>
            <w:tcBorders>
              <w:left w:val="single" w:sz="4" w:space="0" w:color="auto"/>
              <w:bottom w:val="single" w:sz="4" w:space="0" w:color="auto"/>
              <w:right w:val="single"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p>
        </w:tc>
      </w:tr>
      <w:tr w:rsidR="00BF3592" w:rsidRPr="00025B12" w:rsidTr="00296FE3">
        <w:trPr>
          <w:trHeight w:val="360"/>
        </w:trPr>
        <w:tc>
          <w:tcPr>
            <w:tcW w:w="1452" w:type="dxa"/>
            <w:tcBorders>
              <w:top w:val="single" w:sz="4" w:space="0" w:color="auto"/>
              <w:bottom w:val="dotted" w:sz="4" w:space="0" w:color="auto"/>
              <w:right w:val="dotted" w:sz="4" w:space="0" w:color="auto"/>
            </w:tcBorders>
          </w:tcPr>
          <w:p w:rsidR="00BF3592" w:rsidRPr="00025B12" w:rsidRDefault="00BF3592" w:rsidP="0085505C">
            <w:pPr>
              <w:spacing w:after="0" w:line="240" w:lineRule="auto"/>
              <w:jc w:val="center"/>
              <w:rPr>
                <w:rFonts w:ascii="Verdana" w:eastAsiaTheme="minorHAnsi" w:hAnsi="Verdana" w:cstheme="minorBidi"/>
                <w:sz w:val="18"/>
                <w:szCs w:val="18"/>
              </w:rPr>
            </w:pPr>
          </w:p>
        </w:tc>
        <w:tc>
          <w:tcPr>
            <w:tcW w:w="1658" w:type="dxa"/>
            <w:tcBorders>
              <w:top w:val="single"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Zdroj dat</w:t>
            </w:r>
          </w:p>
        </w:tc>
        <w:tc>
          <w:tcPr>
            <w:tcW w:w="2303" w:type="dxa"/>
            <w:tcBorders>
              <w:top w:val="single"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Poskytovatel dat</w:t>
            </w:r>
          </w:p>
        </w:tc>
        <w:tc>
          <w:tcPr>
            <w:tcW w:w="2126" w:type="dxa"/>
            <w:tcBorders>
              <w:top w:val="single"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Periodicita publikace</w:t>
            </w:r>
          </w:p>
        </w:tc>
        <w:tc>
          <w:tcPr>
            <w:tcW w:w="1749" w:type="dxa"/>
            <w:tcBorders>
              <w:top w:val="single" w:sz="4" w:space="0" w:color="auto"/>
              <w:left w:val="dotted" w:sz="4" w:space="0" w:color="auto"/>
              <w:bottom w:val="dotted" w:sz="4" w:space="0" w:color="auto"/>
            </w:tcBorders>
            <w:vAlign w:val="center"/>
          </w:tcPr>
          <w:p w:rsidR="00BF3592" w:rsidRPr="00025B12" w:rsidRDefault="00BF3592" w:rsidP="00296FE3">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Časová řada</w:t>
            </w:r>
          </w:p>
        </w:tc>
      </w:tr>
      <w:tr w:rsidR="00BF3592" w:rsidRPr="00025B12" w:rsidTr="0085505C">
        <w:trPr>
          <w:trHeight w:val="360"/>
        </w:trPr>
        <w:tc>
          <w:tcPr>
            <w:tcW w:w="1452" w:type="dxa"/>
            <w:tcBorders>
              <w:top w:val="dotted" w:sz="4" w:space="0" w:color="auto"/>
              <w:bottom w:val="dotted" w:sz="4" w:space="0" w:color="auto"/>
              <w:right w:val="dotted" w:sz="4" w:space="0" w:color="auto"/>
            </w:tcBorders>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Mez</w:t>
            </w:r>
          </w:p>
        </w:tc>
        <w:tc>
          <w:tcPr>
            <w:tcW w:w="1658" w:type="dxa"/>
            <w:tcBorders>
              <w:top w:val="dotted" w:sz="4" w:space="0" w:color="auto"/>
              <w:left w:val="dotted" w:sz="4" w:space="0" w:color="auto"/>
              <w:bottom w:val="dotted" w:sz="4" w:space="0" w:color="auto"/>
              <w:right w:val="dotted" w:sz="4" w:space="0" w:color="auto"/>
            </w:tcBorders>
            <w:vAlign w:val="center"/>
          </w:tcPr>
          <w:p w:rsidR="00BF3592" w:rsidRPr="00025B12" w:rsidRDefault="00665F1D" w:rsidP="0085505C">
            <w:pPr>
              <w:spacing w:after="0" w:line="240" w:lineRule="auto"/>
              <w:jc w:val="center"/>
              <w:rPr>
                <w:rFonts w:ascii="Verdana" w:eastAsiaTheme="minorHAnsi" w:hAnsi="Verdana" w:cstheme="minorBidi"/>
                <w:sz w:val="18"/>
                <w:szCs w:val="18"/>
              </w:rPr>
            </w:pPr>
            <w:hyperlink w:anchor="ICT" w:history="1">
              <w:r w:rsidR="00BF3592" w:rsidRPr="00025B12">
                <w:rPr>
                  <w:rStyle w:val="Hypertextovodkaz"/>
                  <w:rFonts w:ascii="Verdana" w:eastAsiaTheme="minorHAnsi" w:hAnsi="Verdana" w:cstheme="minorBidi"/>
                  <w:sz w:val="18"/>
                  <w:szCs w:val="18"/>
                </w:rPr>
                <w:t>ICT usage in enterprises</w:t>
              </w:r>
            </w:hyperlink>
          </w:p>
        </w:tc>
        <w:tc>
          <w:tcPr>
            <w:tcW w:w="2303"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Eurostat</w:t>
            </w:r>
          </w:p>
        </w:tc>
        <w:tc>
          <w:tcPr>
            <w:tcW w:w="2126"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Jednorázový modul</w:t>
            </w:r>
          </w:p>
        </w:tc>
        <w:tc>
          <w:tcPr>
            <w:tcW w:w="1749" w:type="dxa"/>
            <w:tcBorders>
              <w:top w:val="dotted" w:sz="4" w:space="0" w:color="auto"/>
              <w:left w:val="dotted" w:sz="4" w:space="0" w:color="auto"/>
              <w:bottom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w:t>
            </w:r>
          </w:p>
        </w:tc>
      </w:tr>
      <w:tr w:rsidR="00BF3592" w:rsidRPr="00025B12" w:rsidTr="0085505C">
        <w:trPr>
          <w:trHeight w:val="360"/>
        </w:trPr>
        <w:tc>
          <w:tcPr>
            <w:tcW w:w="1452" w:type="dxa"/>
            <w:tcBorders>
              <w:top w:val="dotted" w:sz="4" w:space="0" w:color="auto"/>
              <w:bottom w:val="dotted" w:sz="4" w:space="0" w:color="auto"/>
              <w:right w:val="dotted" w:sz="4" w:space="0" w:color="auto"/>
            </w:tcBorders>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ČR</w:t>
            </w:r>
          </w:p>
        </w:tc>
        <w:tc>
          <w:tcPr>
            <w:tcW w:w="1658" w:type="dxa"/>
            <w:tcBorders>
              <w:top w:val="dotted" w:sz="4" w:space="0" w:color="auto"/>
              <w:left w:val="dotted" w:sz="4" w:space="0" w:color="auto"/>
              <w:bottom w:val="dotted" w:sz="4" w:space="0" w:color="auto"/>
              <w:right w:val="dotted" w:sz="4" w:space="0" w:color="auto"/>
            </w:tcBorders>
            <w:vAlign w:val="center"/>
          </w:tcPr>
          <w:p w:rsidR="00BF3592" w:rsidRPr="00025B12" w:rsidRDefault="00665F1D" w:rsidP="0085505C">
            <w:pPr>
              <w:spacing w:after="0" w:line="240" w:lineRule="auto"/>
              <w:jc w:val="center"/>
              <w:rPr>
                <w:rFonts w:ascii="Verdana" w:eastAsiaTheme="minorHAnsi" w:hAnsi="Verdana" w:cstheme="minorBidi"/>
                <w:sz w:val="18"/>
                <w:szCs w:val="18"/>
              </w:rPr>
            </w:pPr>
            <w:hyperlink w:anchor="ICT" w:history="1">
              <w:r w:rsidR="00BF3592" w:rsidRPr="00025B12">
                <w:rPr>
                  <w:rStyle w:val="Hypertextovodkaz"/>
                  <w:rFonts w:ascii="Verdana" w:eastAsiaTheme="minorHAnsi" w:hAnsi="Verdana" w:cstheme="minorBidi"/>
                  <w:sz w:val="18"/>
                  <w:szCs w:val="18"/>
                </w:rPr>
                <w:t>ICT 5-01</w:t>
              </w:r>
            </w:hyperlink>
          </w:p>
        </w:tc>
        <w:tc>
          <w:tcPr>
            <w:tcW w:w="2303"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ČSÚ</w:t>
            </w:r>
          </w:p>
        </w:tc>
        <w:tc>
          <w:tcPr>
            <w:tcW w:w="2126" w:type="dxa"/>
            <w:tcBorders>
              <w:top w:val="dotted" w:sz="4" w:space="0" w:color="auto"/>
              <w:left w:val="dotted" w:sz="4" w:space="0" w:color="auto"/>
              <w:bottom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Jednorázový modul</w:t>
            </w:r>
          </w:p>
        </w:tc>
        <w:tc>
          <w:tcPr>
            <w:tcW w:w="1749" w:type="dxa"/>
            <w:tcBorders>
              <w:top w:val="dotted" w:sz="4" w:space="0" w:color="auto"/>
              <w:left w:val="dotted" w:sz="4" w:space="0" w:color="auto"/>
              <w:bottom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r w:rsidRPr="00025B12">
              <w:rPr>
                <w:rFonts w:ascii="Verdana" w:eastAsiaTheme="minorHAnsi" w:hAnsi="Verdana" w:cstheme="minorBidi"/>
                <w:sz w:val="18"/>
                <w:szCs w:val="18"/>
              </w:rPr>
              <w:t>2007</w:t>
            </w:r>
          </w:p>
        </w:tc>
      </w:tr>
      <w:tr w:rsidR="00BF3592" w:rsidRPr="00025B12" w:rsidTr="0085505C">
        <w:trPr>
          <w:trHeight w:val="360"/>
        </w:trPr>
        <w:tc>
          <w:tcPr>
            <w:tcW w:w="1452" w:type="dxa"/>
            <w:tcBorders>
              <w:top w:val="dotted" w:sz="4" w:space="0" w:color="auto"/>
              <w:right w:val="dotted" w:sz="4" w:space="0" w:color="auto"/>
            </w:tcBorders>
          </w:tcPr>
          <w:p w:rsidR="00BF3592" w:rsidRPr="00025B12" w:rsidRDefault="00BF3592" w:rsidP="0085505C">
            <w:pPr>
              <w:spacing w:after="0" w:line="240" w:lineRule="auto"/>
              <w:jc w:val="center"/>
              <w:rPr>
                <w:rFonts w:ascii="Verdana" w:eastAsiaTheme="minorHAnsi" w:hAnsi="Verdana" w:cstheme="minorBidi"/>
                <w:b/>
                <w:sz w:val="18"/>
                <w:szCs w:val="18"/>
              </w:rPr>
            </w:pPr>
            <w:r w:rsidRPr="00025B12">
              <w:rPr>
                <w:rFonts w:ascii="Verdana" w:eastAsiaTheme="minorHAnsi" w:hAnsi="Verdana" w:cstheme="minorBidi"/>
                <w:b/>
                <w:sz w:val="18"/>
                <w:szCs w:val="18"/>
              </w:rPr>
              <w:t>Reg</w:t>
            </w:r>
          </w:p>
        </w:tc>
        <w:tc>
          <w:tcPr>
            <w:tcW w:w="1658" w:type="dxa"/>
            <w:tcBorders>
              <w:top w:val="dotted" w:sz="4" w:space="0" w:color="auto"/>
              <w:left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p>
        </w:tc>
        <w:tc>
          <w:tcPr>
            <w:tcW w:w="2303" w:type="dxa"/>
            <w:tcBorders>
              <w:top w:val="dotted" w:sz="4" w:space="0" w:color="auto"/>
              <w:left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p>
        </w:tc>
        <w:tc>
          <w:tcPr>
            <w:tcW w:w="2126" w:type="dxa"/>
            <w:tcBorders>
              <w:top w:val="dotted" w:sz="4" w:space="0" w:color="auto"/>
              <w:left w:val="dotted" w:sz="4" w:space="0" w:color="auto"/>
              <w:righ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p>
        </w:tc>
        <w:tc>
          <w:tcPr>
            <w:tcW w:w="1749" w:type="dxa"/>
            <w:tcBorders>
              <w:top w:val="dotted" w:sz="4" w:space="0" w:color="auto"/>
              <w:left w:val="dotted" w:sz="4" w:space="0" w:color="auto"/>
            </w:tcBorders>
            <w:vAlign w:val="center"/>
          </w:tcPr>
          <w:p w:rsidR="00BF3592" w:rsidRPr="00025B12" w:rsidRDefault="00BF3592" w:rsidP="0085505C">
            <w:pPr>
              <w:spacing w:after="0" w:line="240" w:lineRule="auto"/>
              <w:jc w:val="center"/>
              <w:rPr>
                <w:rFonts w:ascii="Verdana" w:eastAsiaTheme="minorHAnsi" w:hAnsi="Verdana" w:cstheme="minorBidi"/>
                <w:sz w:val="18"/>
                <w:szCs w:val="18"/>
              </w:rPr>
            </w:pPr>
          </w:p>
        </w:tc>
      </w:tr>
      <w:tr w:rsidR="00BF3592" w:rsidRPr="00025B12" w:rsidTr="0085505C">
        <w:trPr>
          <w:trHeight w:val="274"/>
        </w:trPr>
        <w:tc>
          <w:tcPr>
            <w:tcW w:w="9288" w:type="dxa"/>
            <w:gridSpan w:val="5"/>
            <w:shd w:val="clear" w:color="auto" w:fill="663399"/>
          </w:tcPr>
          <w:p w:rsidR="00BF3592" w:rsidRPr="00025B12" w:rsidRDefault="00BF3592" w:rsidP="0085505C">
            <w:pPr>
              <w:spacing w:after="0" w:line="240" w:lineRule="auto"/>
              <w:jc w:val="center"/>
              <w:rPr>
                <w:rFonts w:ascii="Verdana" w:eastAsiaTheme="minorHAnsi" w:hAnsi="Verdana" w:cstheme="minorBidi"/>
                <w:sz w:val="18"/>
                <w:szCs w:val="18"/>
              </w:rPr>
            </w:pPr>
          </w:p>
        </w:tc>
      </w:tr>
      <w:tr w:rsidR="00BF3592" w:rsidRPr="00025B12" w:rsidTr="0085505C">
        <w:trPr>
          <w:trHeight w:val="1460"/>
        </w:trPr>
        <w:tc>
          <w:tcPr>
            <w:tcW w:w="9288" w:type="dxa"/>
            <w:gridSpan w:val="5"/>
          </w:tcPr>
          <w:p w:rsidR="00BF3592" w:rsidRPr="00025B12" w:rsidRDefault="00BF3592" w:rsidP="0085505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Význam indikátoru:</w:t>
            </w:r>
          </w:p>
          <w:p w:rsidR="00BF3592" w:rsidRPr="00025B12" w:rsidRDefault="00BF3592" w:rsidP="0085505C">
            <w:pPr>
              <w:jc w:val="both"/>
              <w:rPr>
                <w:rFonts w:ascii="Verdana" w:hAnsi="Verdana"/>
                <w:sz w:val="18"/>
                <w:szCs w:val="18"/>
              </w:rPr>
            </w:pPr>
            <w:r w:rsidRPr="00025B12">
              <w:rPr>
                <w:rFonts w:ascii="Verdana" w:hAnsi="Verdana"/>
                <w:sz w:val="18"/>
                <w:szCs w:val="18"/>
              </w:rPr>
              <w:t>Indikátor informuje o specifické oblasti dalšího vzdělávání – vzdělávání v oblasti počítačových dovedností. Vzdělávání v oblasti počítačových dovedností tvoří významnou složku všeho realizovaného dalšího vzdělávání a je důležité pro stále větší počet profesí. Na druhé straně už řada podniků prošla transformací, ve které bylo třeba přeškolit starší zaměstnance na nové metody práce s využitím počítačových technologií.</w:t>
            </w:r>
          </w:p>
        </w:tc>
      </w:tr>
      <w:tr w:rsidR="00BF3592" w:rsidRPr="00025B12" w:rsidTr="0085505C">
        <w:trPr>
          <w:trHeight w:val="992"/>
        </w:trPr>
        <w:tc>
          <w:tcPr>
            <w:tcW w:w="9288" w:type="dxa"/>
            <w:gridSpan w:val="5"/>
          </w:tcPr>
          <w:p w:rsidR="00BF3592" w:rsidRPr="00025B12" w:rsidRDefault="00BF3592" w:rsidP="0085505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Metodika výpočtu:</w:t>
            </w:r>
          </w:p>
          <w:p w:rsidR="00BF3592" w:rsidRPr="00025B12" w:rsidRDefault="00BF3592" w:rsidP="0085505C">
            <w:pPr>
              <w:jc w:val="both"/>
              <w:rPr>
                <w:rFonts w:ascii="Verdana" w:hAnsi="Verdana"/>
                <w:sz w:val="18"/>
                <w:szCs w:val="18"/>
              </w:rPr>
            </w:pPr>
            <w:r w:rsidRPr="00025B12">
              <w:rPr>
                <w:rFonts w:ascii="Verdana" w:hAnsi="Verdana"/>
                <w:sz w:val="18"/>
                <w:szCs w:val="18"/>
              </w:rPr>
              <w:t>Indikátor je vypočten jako podíl podniků, které realizují školení počítačových dovedností na všech podnicích.</w:t>
            </w:r>
          </w:p>
        </w:tc>
      </w:tr>
      <w:tr w:rsidR="00BF3592" w:rsidRPr="00025B12" w:rsidTr="0085505C">
        <w:trPr>
          <w:trHeight w:val="423"/>
        </w:trPr>
        <w:tc>
          <w:tcPr>
            <w:tcW w:w="9288" w:type="dxa"/>
            <w:gridSpan w:val="5"/>
          </w:tcPr>
          <w:p w:rsidR="00BF3592" w:rsidRPr="00025B12" w:rsidRDefault="00BF3592" w:rsidP="0085505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Dostupnost dat:</w:t>
            </w:r>
          </w:p>
          <w:p w:rsidR="00BF3592" w:rsidRPr="00025B12" w:rsidRDefault="00BF3592" w:rsidP="00762738">
            <w:pPr>
              <w:jc w:val="both"/>
              <w:rPr>
                <w:rFonts w:ascii="Verdana" w:hAnsi="Verdana"/>
                <w:sz w:val="18"/>
                <w:szCs w:val="18"/>
              </w:rPr>
            </w:pPr>
            <w:r w:rsidRPr="00025B12">
              <w:rPr>
                <w:rFonts w:ascii="Verdana" w:hAnsi="Verdana"/>
                <w:sz w:val="18"/>
                <w:szCs w:val="18"/>
              </w:rPr>
              <w:t>Zdrojem dat je specifický modul z roku 2007 k šetření ICT usage in enterprises. V mezinárodním srovnání jsou data přejímána z databáze Eurostatu. Regionální srovnání není publikováno.</w:t>
            </w:r>
          </w:p>
        </w:tc>
      </w:tr>
      <w:tr w:rsidR="00BF3592" w:rsidRPr="00025B12" w:rsidTr="0085505C">
        <w:trPr>
          <w:trHeight w:val="837"/>
        </w:trPr>
        <w:tc>
          <w:tcPr>
            <w:tcW w:w="9288" w:type="dxa"/>
            <w:gridSpan w:val="5"/>
          </w:tcPr>
          <w:p w:rsidR="00BF3592" w:rsidRPr="00025B12" w:rsidRDefault="00BF3592" w:rsidP="0085505C">
            <w:pPr>
              <w:spacing w:before="60" w:after="120" w:line="240" w:lineRule="auto"/>
              <w:rPr>
                <w:rFonts w:ascii="Verdana" w:eastAsiaTheme="minorHAnsi" w:hAnsi="Verdana" w:cstheme="minorBidi"/>
                <w:b/>
                <w:sz w:val="18"/>
                <w:szCs w:val="18"/>
                <w:u w:val="single"/>
              </w:rPr>
            </w:pPr>
            <w:r w:rsidRPr="00025B12">
              <w:rPr>
                <w:rFonts w:ascii="Verdana" w:eastAsiaTheme="minorHAnsi" w:hAnsi="Verdana" w:cstheme="minorBidi"/>
                <w:b/>
                <w:sz w:val="18"/>
                <w:szCs w:val="18"/>
                <w:u w:val="single"/>
              </w:rPr>
              <w:t>Poznámky:</w:t>
            </w:r>
          </w:p>
          <w:p w:rsidR="00BF3592" w:rsidRPr="00025B12" w:rsidRDefault="00BF3592" w:rsidP="0085505C">
            <w:pPr>
              <w:jc w:val="both"/>
              <w:rPr>
                <w:rFonts w:ascii="Verdana" w:hAnsi="Verdana"/>
                <w:sz w:val="18"/>
                <w:szCs w:val="18"/>
              </w:rPr>
            </w:pPr>
            <w:r w:rsidRPr="00025B12">
              <w:rPr>
                <w:rFonts w:ascii="Verdana" w:hAnsi="Verdana"/>
                <w:sz w:val="18"/>
                <w:szCs w:val="18"/>
              </w:rPr>
              <w:t>Vzhledem k původu dat z jednorázového modulu nemá indikátor dlouhodobé využití.</w:t>
            </w:r>
          </w:p>
        </w:tc>
      </w:tr>
    </w:tbl>
    <w:p w:rsidR="001C15AD" w:rsidRPr="00025B12" w:rsidRDefault="00DE6232" w:rsidP="001448D9">
      <w:pPr>
        <w:pStyle w:val="Nadpiskonc1"/>
        <w:numPr>
          <w:ilvl w:val="0"/>
          <w:numId w:val="10"/>
        </w:numPr>
        <w:pBdr>
          <w:top w:val="single" w:sz="4" w:space="1" w:color="000000"/>
          <w:left w:val="single" w:sz="4" w:space="4" w:color="000000"/>
          <w:bottom w:val="single" w:sz="4" w:space="1" w:color="000000"/>
          <w:right w:val="single" w:sz="4" w:space="4" w:color="000000"/>
        </w:pBdr>
        <w:rPr>
          <w:rFonts w:ascii="Verdana" w:hAnsi="Verdana"/>
          <w:sz w:val="36"/>
          <w:szCs w:val="36"/>
        </w:rPr>
      </w:pPr>
      <w:r w:rsidRPr="00025B12">
        <w:br w:type="page"/>
      </w:r>
      <w:bookmarkStart w:id="140" w:name="_Toc304898625"/>
      <w:bookmarkStart w:id="141" w:name="_Toc289351181"/>
      <w:bookmarkStart w:id="142" w:name="_Toc289351263"/>
      <w:r w:rsidR="00916AB4" w:rsidRPr="00025B12">
        <w:rPr>
          <w:rFonts w:ascii="Verdana" w:hAnsi="Verdana"/>
          <w:sz w:val="36"/>
          <w:szCs w:val="36"/>
        </w:rPr>
        <w:lastRenderedPageBreak/>
        <w:t xml:space="preserve">DOPORUČENÍ PRO </w:t>
      </w:r>
      <w:r w:rsidR="00B02707" w:rsidRPr="00025B12">
        <w:rPr>
          <w:rFonts w:ascii="Verdana" w:hAnsi="Verdana"/>
          <w:sz w:val="36"/>
          <w:szCs w:val="36"/>
        </w:rPr>
        <w:t>INFORMAČNÍ</w:t>
      </w:r>
      <w:r w:rsidR="001C15AD" w:rsidRPr="00025B12">
        <w:rPr>
          <w:rFonts w:ascii="Verdana" w:hAnsi="Verdana"/>
          <w:sz w:val="36"/>
          <w:szCs w:val="36"/>
        </w:rPr>
        <w:t xml:space="preserve"> ZDROJ</w:t>
      </w:r>
      <w:r w:rsidR="00B02707" w:rsidRPr="00025B12">
        <w:rPr>
          <w:rFonts w:ascii="Verdana" w:hAnsi="Verdana"/>
          <w:sz w:val="36"/>
          <w:szCs w:val="36"/>
        </w:rPr>
        <w:t>E</w:t>
      </w:r>
      <w:bookmarkEnd w:id="140"/>
    </w:p>
    <w:p w:rsidR="001C15AD" w:rsidRPr="00025B12" w:rsidRDefault="001C15AD" w:rsidP="001C15AD">
      <w:pPr>
        <w:jc w:val="both"/>
      </w:pPr>
    </w:p>
    <w:p w:rsidR="004C0B92" w:rsidRPr="00025B12" w:rsidRDefault="001C15AD" w:rsidP="001C15AD">
      <w:pPr>
        <w:jc w:val="both"/>
        <w:rPr>
          <w:rFonts w:ascii="Verdana" w:hAnsi="Verdana"/>
          <w:sz w:val="20"/>
          <w:szCs w:val="20"/>
        </w:rPr>
      </w:pPr>
      <w:r w:rsidRPr="00025B12">
        <w:rPr>
          <w:rFonts w:ascii="Verdana" w:hAnsi="Verdana"/>
          <w:sz w:val="20"/>
          <w:szCs w:val="20"/>
        </w:rPr>
        <w:t>Celý s</w:t>
      </w:r>
      <w:r w:rsidR="00F73A7B" w:rsidRPr="00025B12">
        <w:rPr>
          <w:rFonts w:ascii="Verdana" w:hAnsi="Verdana"/>
          <w:sz w:val="20"/>
          <w:szCs w:val="20"/>
        </w:rPr>
        <w:t>oubor</w:t>
      </w:r>
      <w:r w:rsidRPr="00025B12">
        <w:rPr>
          <w:rFonts w:ascii="Verdana" w:hAnsi="Verdana"/>
          <w:sz w:val="20"/>
          <w:szCs w:val="20"/>
        </w:rPr>
        <w:t xml:space="preserve"> indikátorů je navržen tak, aby maximálním možným způsobem navazoval na současný stav v oblasti monitoringu dalšího vzdělávání a současné informační zdroje. Některé důležité oblasti dalšího vzdělávání </w:t>
      </w:r>
      <w:r w:rsidR="004C0B92" w:rsidRPr="00025B12">
        <w:rPr>
          <w:rFonts w:ascii="Verdana" w:hAnsi="Verdana"/>
          <w:sz w:val="20"/>
          <w:szCs w:val="20"/>
        </w:rPr>
        <w:t>však v současné době nejsou pokryty a pro zajištění systému monitoringu v navrhované podobě je třeba provést některé úpravy a doplnění informačních zdrojů. Jedná se o následující opatření:</w:t>
      </w:r>
    </w:p>
    <w:p w:rsidR="001C15AD" w:rsidRPr="00025B12" w:rsidRDefault="004C0B92" w:rsidP="00521BE8">
      <w:pPr>
        <w:numPr>
          <w:ilvl w:val="0"/>
          <w:numId w:val="38"/>
        </w:numPr>
        <w:ind w:left="426"/>
        <w:jc w:val="both"/>
        <w:rPr>
          <w:rFonts w:ascii="Verdana" w:hAnsi="Verdana"/>
          <w:sz w:val="20"/>
          <w:szCs w:val="20"/>
        </w:rPr>
      </w:pPr>
      <w:r w:rsidRPr="00025B12">
        <w:rPr>
          <w:rFonts w:ascii="Verdana" w:hAnsi="Verdana"/>
          <w:sz w:val="20"/>
          <w:szCs w:val="20"/>
        </w:rPr>
        <w:t xml:space="preserve">Je nutno </w:t>
      </w:r>
      <w:r w:rsidRPr="00025B12">
        <w:rPr>
          <w:rFonts w:ascii="Verdana" w:hAnsi="Verdana"/>
          <w:b/>
          <w:sz w:val="20"/>
          <w:szCs w:val="20"/>
        </w:rPr>
        <w:t>uvést do provozu Informační systém pro kvalifikace a autorizace</w:t>
      </w:r>
      <w:r w:rsidRPr="00025B12">
        <w:rPr>
          <w:rFonts w:ascii="Verdana" w:hAnsi="Verdana"/>
          <w:sz w:val="20"/>
          <w:szCs w:val="20"/>
        </w:rPr>
        <w:t xml:space="preserve"> v podobě, která umožní nejen sledování aktuální situace, ale bude obsahovat též historické informace, které umožní </w:t>
      </w:r>
      <w:r w:rsidR="00E26E2D" w:rsidRPr="00025B12">
        <w:rPr>
          <w:rFonts w:ascii="Verdana" w:hAnsi="Verdana"/>
          <w:sz w:val="20"/>
          <w:szCs w:val="20"/>
        </w:rPr>
        <w:t>tvorbu</w:t>
      </w:r>
      <w:r w:rsidRPr="00025B12">
        <w:rPr>
          <w:rFonts w:ascii="Verdana" w:hAnsi="Verdana"/>
          <w:sz w:val="20"/>
          <w:szCs w:val="20"/>
        </w:rPr>
        <w:t xml:space="preserve"> časových řad. Ideální varianta je, aby ISKA umožňoval vyhledání historických dat jako svou integrální funkci. Méně systémové, přesto využitelné řešení by spočívalo v pravidelných exportech dat (stavových dat k určitému datu) ze systému ISKA, z něhož by se následně indikátory počítaly. </w:t>
      </w:r>
    </w:p>
    <w:p w:rsidR="004C0B92" w:rsidRPr="00025B12" w:rsidRDefault="004C0B92" w:rsidP="00521BE8">
      <w:pPr>
        <w:ind w:left="426"/>
        <w:jc w:val="both"/>
        <w:rPr>
          <w:rFonts w:ascii="Verdana" w:hAnsi="Verdana"/>
          <w:b/>
          <w:i/>
          <w:sz w:val="20"/>
          <w:szCs w:val="20"/>
        </w:rPr>
      </w:pPr>
      <w:r w:rsidRPr="00025B12">
        <w:rPr>
          <w:rFonts w:ascii="Verdana" w:hAnsi="Verdana"/>
          <w:b/>
          <w:i/>
          <w:sz w:val="20"/>
          <w:szCs w:val="20"/>
        </w:rPr>
        <w:t>Na realizaci tohoto opatření jsou závislé indikátory</w:t>
      </w:r>
      <w:r w:rsidR="00C415CC" w:rsidRPr="00025B12">
        <w:rPr>
          <w:rFonts w:ascii="Verdana" w:hAnsi="Verdana"/>
          <w:b/>
          <w:i/>
          <w:sz w:val="20"/>
          <w:szCs w:val="20"/>
        </w:rPr>
        <w:t xml:space="preserve"> II.4.d3,</w:t>
      </w:r>
      <w:r w:rsidRPr="00025B12">
        <w:rPr>
          <w:rFonts w:ascii="Verdana" w:hAnsi="Verdana"/>
          <w:b/>
          <w:i/>
          <w:sz w:val="20"/>
          <w:szCs w:val="20"/>
        </w:rPr>
        <w:t xml:space="preserve"> </w:t>
      </w:r>
      <w:r w:rsidR="00C415CC" w:rsidRPr="00025B12">
        <w:rPr>
          <w:rFonts w:ascii="Verdana" w:hAnsi="Verdana"/>
          <w:b/>
          <w:i/>
          <w:sz w:val="20"/>
          <w:szCs w:val="20"/>
        </w:rPr>
        <w:t>II.6.1, II.6d1, IV.3.1, IV.3.d1</w:t>
      </w:r>
      <w:r w:rsidRPr="00025B12">
        <w:rPr>
          <w:rFonts w:ascii="Verdana" w:hAnsi="Verdana"/>
          <w:b/>
          <w:i/>
          <w:sz w:val="20"/>
          <w:szCs w:val="20"/>
        </w:rPr>
        <w:t>.</w:t>
      </w:r>
    </w:p>
    <w:p w:rsidR="001033C4" w:rsidRPr="00025B12" w:rsidRDefault="007C54D9" w:rsidP="00521BE8">
      <w:pPr>
        <w:numPr>
          <w:ilvl w:val="0"/>
          <w:numId w:val="38"/>
        </w:numPr>
        <w:ind w:left="426"/>
        <w:jc w:val="both"/>
        <w:rPr>
          <w:rFonts w:ascii="Verdana" w:hAnsi="Verdana"/>
          <w:sz w:val="20"/>
          <w:szCs w:val="20"/>
        </w:rPr>
      </w:pPr>
      <w:r w:rsidRPr="00025B12">
        <w:rPr>
          <w:rFonts w:ascii="Verdana" w:hAnsi="Verdana"/>
          <w:b/>
          <w:sz w:val="20"/>
          <w:szCs w:val="20"/>
        </w:rPr>
        <w:t>Zprovoznění systému ratingu vzdělávacích institucí</w:t>
      </w:r>
      <w:r w:rsidRPr="00025B12">
        <w:rPr>
          <w:rFonts w:ascii="Verdana" w:hAnsi="Verdana"/>
          <w:sz w:val="20"/>
          <w:szCs w:val="20"/>
        </w:rPr>
        <w:t xml:space="preserve"> v podobě, která bude umožňovat získávání statistických dat o něm. </w:t>
      </w:r>
      <w:r w:rsidR="00AB4158" w:rsidRPr="00025B12">
        <w:rPr>
          <w:rFonts w:ascii="Verdana" w:hAnsi="Verdana"/>
          <w:sz w:val="20"/>
          <w:szCs w:val="20"/>
        </w:rPr>
        <w:t xml:space="preserve">Systém ratingu vzdělávacích institucí by měl sloužit jako indikátor kvality dalšího vzdělávání. Podobně jako v případě ISKA (viz výše) je třeba, aby architektura systému umožňovala získávání statistických dat z něj. I zde platí ideální </w:t>
      </w:r>
      <w:r w:rsidR="00E26E2D" w:rsidRPr="00025B12">
        <w:rPr>
          <w:rFonts w:ascii="Verdana" w:hAnsi="Verdana"/>
          <w:sz w:val="20"/>
          <w:szCs w:val="20"/>
        </w:rPr>
        <w:t>varianta</w:t>
      </w:r>
      <w:r w:rsidR="00AB4158" w:rsidRPr="00025B12">
        <w:rPr>
          <w:rFonts w:ascii="Verdana" w:hAnsi="Verdana"/>
          <w:sz w:val="20"/>
          <w:szCs w:val="20"/>
        </w:rPr>
        <w:t xml:space="preserve"> možnosti dohledávat historická data a méně ideální, přesto proveditelná varianta časových řezů.</w:t>
      </w:r>
    </w:p>
    <w:p w:rsidR="007C54D9" w:rsidRPr="00025B12" w:rsidRDefault="007C54D9" w:rsidP="00521BE8">
      <w:pPr>
        <w:ind w:left="426"/>
        <w:jc w:val="both"/>
        <w:rPr>
          <w:rFonts w:ascii="Verdana" w:hAnsi="Verdana"/>
          <w:b/>
          <w:i/>
          <w:sz w:val="20"/>
          <w:szCs w:val="20"/>
        </w:rPr>
      </w:pPr>
      <w:r w:rsidRPr="00025B12">
        <w:rPr>
          <w:rFonts w:ascii="Verdana" w:hAnsi="Verdana"/>
          <w:b/>
          <w:i/>
          <w:sz w:val="20"/>
          <w:szCs w:val="20"/>
        </w:rPr>
        <w:t>Na realizaci tohoto opatření je plně závislý indikátor III.4.1, který je v navrhovaném indikátoru jediným v oblasti Kvality dalšího vzdělávání.</w:t>
      </w:r>
    </w:p>
    <w:p w:rsidR="004C0B92" w:rsidRPr="00025B12" w:rsidRDefault="001033C4" w:rsidP="00521BE8">
      <w:pPr>
        <w:numPr>
          <w:ilvl w:val="0"/>
          <w:numId w:val="38"/>
        </w:numPr>
        <w:ind w:left="426"/>
        <w:jc w:val="both"/>
        <w:rPr>
          <w:rFonts w:ascii="Verdana" w:hAnsi="Verdana"/>
          <w:sz w:val="20"/>
          <w:szCs w:val="20"/>
        </w:rPr>
      </w:pPr>
      <w:r w:rsidRPr="00025B12">
        <w:rPr>
          <w:rFonts w:ascii="Verdana" w:hAnsi="Verdana"/>
          <w:sz w:val="20"/>
          <w:szCs w:val="20"/>
        </w:rPr>
        <w:t xml:space="preserve">Začlenění </w:t>
      </w:r>
      <w:r w:rsidRPr="00025B12">
        <w:rPr>
          <w:rFonts w:ascii="Verdana" w:hAnsi="Verdana"/>
          <w:b/>
          <w:sz w:val="20"/>
          <w:szCs w:val="20"/>
        </w:rPr>
        <w:t>dotazu na vzdělávání v posledních 12 měsící</w:t>
      </w:r>
      <w:r w:rsidR="007C54D9" w:rsidRPr="00025B12">
        <w:rPr>
          <w:rFonts w:ascii="Verdana" w:hAnsi="Verdana"/>
          <w:b/>
          <w:sz w:val="20"/>
          <w:szCs w:val="20"/>
        </w:rPr>
        <w:t>c</w:t>
      </w:r>
      <w:r w:rsidRPr="00025B12">
        <w:rPr>
          <w:rFonts w:ascii="Verdana" w:hAnsi="Verdana"/>
          <w:b/>
          <w:sz w:val="20"/>
          <w:szCs w:val="20"/>
        </w:rPr>
        <w:t>h do Výběrového šetření pracovních sil.</w:t>
      </w:r>
      <w:r w:rsidRPr="00025B12">
        <w:rPr>
          <w:rFonts w:ascii="Verdana" w:hAnsi="Verdana"/>
          <w:sz w:val="20"/>
          <w:szCs w:val="20"/>
        </w:rPr>
        <w:t xml:space="preserve"> </w:t>
      </w:r>
      <w:r w:rsidR="0043178B" w:rsidRPr="00025B12">
        <w:rPr>
          <w:rFonts w:ascii="Verdana" w:hAnsi="Verdana"/>
          <w:sz w:val="20"/>
          <w:szCs w:val="20"/>
        </w:rPr>
        <w:t>V současné době jsou jako klíčové zařazeny v systému indikátory vztahující se k účasti na vzdělávání v posledních 4 týdnech, protože je pro ně k dispozici časové řada z údajů z VŠPS. Dle názorů expertů však o skutečné účasti lépe vypovídá indikátor vztahující se k posledním 12 měsícům.</w:t>
      </w:r>
      <w:r w:rsidR="00D84B5C" w:rsidRPr="00025B12">
        <w:rPr>
          <w:rFonts w:ascii="Verdana" w:hAnsi="Verdana"/>
          <w:sz w:val="20"/>
          <w:szCs w:val="20"/>
        </w:rPr>
        <w:t xml:space="preserve"> Bylo by proto vhodné, aby do VŠPS byla tato otázka zařazena a v budoucnu byly klíčové indikátory vyměněny. Ve 4. čtvrtletí 2011 je plánováno pilotní šetření, ve kterém v rámci LFS budou zakomponovány také otázky odpovídající metodice AES (tedy vztahující se k posledním 12 měsícům). To by přineslo jednak mnoho pravidelných informací o DV a jednak také srovnatelnost těchto údajů. Konkrétní podmínky spojení obou šetření popřípadě jejich kombinace není zatím známa a bude blíže určena po pilotu.</w:t>
      </w:r>
    </w:p>
    <w:p w:rsidR="00D84B5C" w:rsidRPr="00025B12" w:rsidRDefault="00D84B5C" w:rsidP="00521BE8">
      <w:pPr>
        <w:ind w:left="426"/>
        <w:jc w:val="both"/>
        <w:rPr>
          <w:rFonts w:ascii="Verdana" w:hAnsi="Verdana"/>
          <w:b/>
          <w:i/>
          <w:sz w:val="20"/>
          <w:szCs w:val="20"/>
        </w:rPr>
      </w:pPr>
      <w:r w:rsidRPr="00025B12">
        <w:rPr>
          <w:rFonts w:ascii="Verdana" w:hAnsi="Verdana"/>
          <w:b/>
          <w:i/>
          <w:sz w:val="20"/>
          <w:szCs w:val="20"/>
        </w:rPr>
        <w:t>Na realizaci je závislý přechod od klíčových indikátorů</w:t>
      </w:r>
      <w:r w:rsidR="00521BE8" w:rsidRPr="00025B12">
        <w:rPr>
          <w:rFonts w:ascii="Verdana" w:hAnsi="Verdana"/>
          <w:b/>
          <w:i/>
          <w:sz w:val="20"/>
          <w:szCs w:val="20"/>
        </w:rPr>
        <w:t xml:space="preserve"> IV.0.1 a IV.2.1 na indikátory IV.0.d1 a IV.2.d1, které jsou v současné době doplňkové.</w:t>
      </w:r>
    </w:p>
    <w:p w:rsidR="00444D8C" w:rsidRPr="00025B12" w:rsidRDefault="008F1417" w:rsidP="00521BE8">
      <w:pPr>
        <w:numPr>
          <w:ilvl w:val="0"/>
          <w:numId w:val="38"/>
        </w:numPr>
        <w:ind w:left="426"/>
        <w:jc w:val="both"/>
        <w:rPr>
          <w:rFonts w:ascii="Verdana" w:hAnsi="Verdana"/>
          <w:sz w:val="20"/>
          <w:szCs w:val="20"/>
        </w:rPr>
      </w:pPr>
      <w:r w:rsidRPr="00025B12">
        <w:rPr>
          <w:rFonts w:ascii="Verdana" w:hAnsi="Verdana"/>
          <w:b/>
          <w:sz w:val="20"/>
          <w:szCs w:val="20"/>
        </w:rPr>
        <w:t>Navázání systémové spolupráce se soukromými provozovateli databází nabídky dalšího vzdělávání.</w:t>
      </w:r>
      <w:r w:rsidR="002A7296" w:rsidRPr="00025B12">
        <w:rPr>
          <w:rFonts w:ascii="Verdana" w:hAnsi="Verdana"/>
          <w:sz w:val="20"/>
          <w:szCs w:val="20"/>
        </w:rPr>
        <w:t xml:space="preserve"> Indikátory byly dopočteny z data získaných od společností Trexima a Iviterra na základě domluvy o tom, že se jedná o pilotní zpracování. Pro budoucí fungování systému je třeba tyto soukromé subjekty začlenit do celého systému předávání informací.</w:t>
      </w:r>
    </w:p>
    <w:p w:rsidR="00444D8C" w:rsidRPr="00025B12" w:rsidRDefault="00444D8C" w:rsidP="00521BE8">
      <w:pPr>
        <w:ind w:left="426"/>
        <w:jc w:val="both"/>
        <w:rPr>
          <w:rFonts w:ascii="Verdana" w:hAnsi="Verdana"/>
          <w:b/>
          <w:i/>
          <w:sz w:val="20"/>
          <w:szCs w:val="20"/>
        </w:rPr>
      </w:pPr>
      <w:r w:rsidRPr="00025B12">
        <w:rPr>
          <w:rFonts w:ascii="Verdana" w:hAnsi="Verdana"/>
          <w:b/>
          <w:i/>
          <w:sz w:val="20"/>
          <w:szCs w:val="20"/>
        </w:rPr>
        <w:lastRenderedPageBreak/>
        <w:t xml:space="preserve">Na navázání této spolupráce jsou plně závislé </w:t>
      </w:r>
      <w:r w:rsidR="009C616A" w:rsidRPr="00025B12">
        <w:rPr>
          <w:rFonts w:ascii="Verdana" w:hAnsi="Verdana"/>
          <w:b/>
          <w:i/>
          <w:sz w:val="20"/>
          <w:szCs w:val="20"/>
        </w:rPr>
        <w:t xml:space="preserve">všechny </w:t>
      </w:r>
      <w:r w:rsidRPr="00025B12">
        <w:rPr>
          <w:rFonts w:ascii="Verdana" w:hAnsi="Verdana"/>
          <w:b/>
          <w:i/>
          <w:sz w:val="20"/>
          <w:szCs w:val="20"/>
        </w:rPr>
        <w:t xml:space="preserve">indikátory </w:t>
      </w:r>
      <w:r w:rsidR="009C616A" w:rsidRPr="00025B12">
        <w:rPr>
          <w:rFonts w:ascii="Verdana" w:hAnsi="Verdana"/>
          <w:b/>
          <w:i/>
          <w:sz w:val="20"/>
          <w:szCs w:val="20"/>
        </w:rPr>
        <w:t>v oblasti III.2 s výjimkou III.2d.3 a dále pak indikátory II.4.1 a II.5.1.</w:t>
      </w:r>
    </w:p>
    <w:p w:rsidR="001620F9" w:rsidRPr="00025B12" w:rsidRDefault="006A68CB" w:rsidP="00521BE8">
      <w:pPr>
        <w:numPr>
          <w:ilvl w:val="0"/>
          <w:numId w:val="38"/>
        </w:numPr>
        <w:ind w:left="426"/>
        <w:jc w:val="both"/>
        <w:rPr>
          <w:rFonts w:ascii="Verdana" w:hAnsi="Verdana"/>
          <w:sz w:val="20"/>
          <w:szCs w:val="20"/>
        </w:rPr>
      </w:pPr>
      <w:r w:rsidRPr="00025B12">
        <w:rPr>
          <w:rFonts w:ascii="Verdana" w:hAnsi="Verdana"/>
          <w:sz w:val="20"/>
          <w:szCs w:val="20"/>
        </w:rPr>
        <w:t xml:space="preserve">Pro udržení systému indikátorů je nutné v řadě případů vycházet z individuálních dat (anonymizovaných), neboť standardně publikované výstupy neobsahují potřebná třídění nebo </w:t>
      </w:r>
      <w:r w:rsidR="00F2752B" w:rsidRPr="00025B12">
        <w:rPr>
          <w:rFonts w:ascii="Verdana" w:hAnsi="Verdana"/>
          <w:sz w:val="20"/>
          <w:szCs w:val="20"/>
        </w:rPr>
        <w:t>v případě databází nejsou v podobě umožňující snadné statistické zpracování</w:t>
      </w:r>
      <w:r w:rsidRPr="00025B12">
        <w:rPr>
          <w:rFonts w:ascii="Verdana" w:hAnsi="Verdana"/>
          <w:sz w:val="20"/>
          <w:szCs w:val="20"/>
        </w:rPr>
        <w:t>. V rámci aktivity III.C bude navržen způsob předávání dat.</w:t>
      </w:r>
      <w:r w:rsidR="00F2752B" w:rsidRPr="00025B12">
        <w:rPr>
          <w:rFonts w:ascii="Verdana" w:hAnsi="Verdana"/>
          <w:sz w:val="20"/>
          <w:szCs w:val="20"/>
        </w:rPr>
        <w:t xml:space="preserve"> Kromě údajů od ČSÚ, které lze ve většině případů získat, je třeba zajistit předávání mikrodat i u některých zdrojů z ÚIV.</w:t>
      </w:r>
    </w:p>
    <w:p w:rsidR="00F2752B" w:rsidRPr="00025B12" w:rsidRDefault="00075D16" w:rsidP="00521BE8">
      <w:pPr>
        <w:numPr>
          <w:ilvl w:val="0"/>
          <w:numId w:val="38"/>
        </w:numPr>
        <w:ind w:left="426"/>
        <w:jc w:val="both"/>
        <w:rPr>
          <w:rFonts w:ascii="Verdana" w:hAnsi="Verdana"/>
          <w:sz w:val="20"/>
          <w:szCs w:val="20"/>
        </w:rPr>
      </w:pPr>
      <w:r w:rsidRPr="00025B12">
        <w:rPr>
          <w:rFonts w:ascii="Verdana" w:hAnsi="Verdana"/>
          <w:sz w:val="20"/>
          <w:szCs w:val="20"/>
        </w:rPr>
        <w:t>Akreditované kurzy</w:t>
      </w:r>
      <w:r w:rsidR="00E5116C" w:rsidRPr="00025B12">
        <w:rPr>
          <w:rFonts w:ascii="Verdana" w:hAnsi="Verdana"/>
          <w:sz w:val="20"/>
          <w:szCs w:val="20"/>
        </w:rPr>
        <w:t xml:space="preserve"> – informace o akreditovaných kurzech jsou k dispozici v různých podobách od ministerstev a pracnost zpracování informací je vysoká. Pro zpracování indikátorů III.2.d3 a III.2.d4 bude třeba zajistit přístup k informacím ve formě umožňující statistické zpracování (tabulkový procesor, popř. u databáze DAK přímý přístup k datům z databáze). Aktuálně běžící akreditované kurzy jsou v databázi EU-DAT, která je propojena se systémem DAK Ministerstva školství, podobné napojení databází udělených akreditací od dalších ministerstev by usnadnílo zpracování.</w:t>
      </w:r>
    </w:p>
    <w:p w:rsidR="007C54D9" w:rsidRPr="00025B12" w:rsidRDefault="007C54D9" w:rsidP="00521BE8">
      <w:pPr>
        <w:numPr>
          <w:ilvl w:val="0"/>
          <w:numId w:val="38"/>
        </w:numPr>
        <w:ind w:left="426"/>
        <w:jc w:val="both"/>
        <w:rPr>
          <w:rFonts w:ascii="Verdana" w:hAnsi="Verdana"/>
          <w:sz w:val="20"/>
          <w:szCs w:val="20"/>
        </w:rPr>
      </w:pPr>
      <w:r w:rsidRPr="00025B12">
        <w:rPr>
          <w:rFonts w:ascii="Verdana" w:hAnsi="Verdana"/>
          <w:sz w:val="20"/>
          <w:szCs w:val="20"/>
        </w:rPr>
        <w:t xml:space="preserve">Kromě </w:t>
      </w:r>
      <w:r w:rsidR="00E5116C" w:rsidRPr="00025B12">
        <w:rPr>
          <w:rFonts w:ascii="Verdana" w:hAnsi="Verdana"/>
          <w:sz w:val="20"/>
          <w:szCs w:val="20"/>
        </w:rPr>
        <w:t>zmíněných návrhů na změny</w:t>
      </w:r>
      <w:r w:rsidRPr="00025B12">
        <w:rPr>
          <w:rFonts w:ascii="Verdana" w:hAnsi="Verdana"/>
          <w:sz w:val="20"/>
          <w:szCs w:val="20"/>
        </w:rPr>
        <w:t xml:space="preserve"> je systém indikátorů závislý na udržení stávajících informačních zdrojů v podobě svých nejnovějších stavů (popř. kol šetření). </w:t>
      </w:r>
      <w:r w:rsidR="00622E67" w:rsidRPr="00025B12">
        <w:rPr>
          <w:rFonts w:ascii="Verdana" w:hAnsi="Verdana"/>
          <w:sz w:val="20"/>
          <w:szCs w:val="20"/>
        </w:rPr>
        <w:t>Různé stupně rizika existují</w:t>
      </w:r>
      <w:r w:rsidRPr="00025B12">
        <w:rPr>
          <w:rFonts w:ascii="Verdana" w:hAnsi="Verdana"/>
          <w:sz w:val="20"/>
          <w:szCs w:val="20"/>
        </w:rPr>
        <w:t xml:space="preserve"> u následujících informačních zdrojů:</w:t>
      </w:r>
    </w:p>
    <w:p w:rsidR="00BD377B" w:rsidRPr="00025B12" w:rsidRDefault="007C54D9" w:rsidP="00BD377B">
      <w:pPr>
        <w:numPr>
          <w:ilvl w:val="1"/>
          <w:numId w:val="38"/>
        </w:numPr>
        <w:ind w:left="851"/>
        <w:jc w:val="both"/>
        <w:rPr>
          <w:rFonts w:ascii="Verdana" w:hAnsi="Verdana"/>
          <w:sz w:val="20"/>
          <w:szCs w:val="20"/>
        </w:rPr>
      </w:pPr>
      <w:r w:rsidRPr="00025B12">
        <w:rPr>
          <w:rFonts w:ascii="Verdana" w:hAnsi="Verdana"/>
          <w:b/>
          <w:sz w:val="20"/>
          <w:szCs w:val="20"/>
        </w:rPr>
        <w:t xml:space="preserve">CVTS </w:t>
      </w:r>
      <w:r w:rsidRPr="00025B12">
        <w:rPr>
          <w:rFonts w:ascii="Verdana" w:hAnsi="Verdana"/>
          <w:sz w:val="20"/>
          <w:szCs w:val="20"/>
        </w:rPr>
        <w:t xml:space="preserve">– na </w:t>
      </w:r>
      <w:r w:rsidR="00805AD7" w:rsidRPr="00025B12">
        <w:rPr>
          <w:rFonts w:ascii="Verdana" w:hAnsi="Verdana"/>
          <w:sz w:val="20"/>
          <w:szCs w:val="20"/>
        </w:rPr>
        <w:t>e</w:t>
      </w:r>
      <w:r w:rsidRPr="00025B12">
        <w:rPr>
          <w:rFonts w:ascii="Verdana" w:hAnsi="Verdana"/>
          <w:sz w:val="20"/>
          <w:szCs w:val="20"/>
        </w:rPr>
        <w:t xml:space="preserve">vropské úrovni probíhá diskuze o zastavení šetření po </w:t>
      </w:r>
      <w:r w:rsidR="00E26E2D" w:rsidRPr="00025B12">
        <w:rPr>
          <w:rFonts w:ascii="Verdana" w:hAnsi="Verdana"/>
          <w:sz w:val="20"/>
          <w:szCs w:val="20"/>
        </w:rPr>
        <w:t>uskutečnění</w:t>
      </w:r>
      <w:r w:rsidRPr="00025B12">
        <w:rPr>
          <w:rFonts w:ascii="Verdana" w:hAnsi="Verdana"/>
          <w:sz w:val="20"/>
          <w:szCs w:val="20"/>
        </w:rPr>
        <w:t xml:space="preserve"> čtvrtého kola (referenční rok 2010)</w:t>
      </w:r>
      <w:r w:rsidR="00622E67" w:rsidRPr="00025B12">
        <w:rPr>
          <w:rFonts w:ascii="Verdana" w:hAnsi="Verdana"/>
          <w:sz w:val="20"/>
          <w:szCs w:val="20"/>
        </w:rPr>
        <w:t xml:space="preserve">. </w:t>
      </w:r>
      <w:r w:rsidR="00BD377B" w:rsidRPr="00025B12">
        <w:rPr>
          <w:rFonts w:ascii="Verdana" w:hAnsi="Verdana"/>
          <w:sz w:val="20"/>
          <w:szCs w:val="20"/>
        </w:rPr>
        <w:t xml:space="preserve">CVTS je pro ČR jediným zdrojem informací o podnikovém vzdělávání a současná periodicita CVTS (jednou za pět let) značně omezuje využitelnost údajů, </w:t>
      </w:r>
      <w:r w:rsidR="00BD377B" w:rsidRPr="00025B12">
        <w:rPr>
          <w:rFonts w:ascii="Verdana" w:hAnsi="Verdana"/>
          <w:b/>
          <w:i/>
          <w:sz w:val="20"/>
          <w:szCs w:val="20"/>
        </w:rPr>
        <w:t>zrušení CVTS by znamenalo pro ČR úplnou absenci informací o podnikovém vzdělávání</w:t>
      </w:r>
      <w:r w:rsidR="00BD377B" w:rsidRPr="00025B12">
        <w:rPr>
          <w:rFonts w:ascii="Verdana" w:hAnsi="Verdana"/>
          <w:sz w:val="20"/>
          <w:szCs w:val="20"/>
        </w:rPr>
        <w:t xml:space="preserve">. </w:t>
      </w:r>
      <w:r w:rsidR="00E5116C" w:rsidRPr="00025B12">
        <w:rPr>
          <w:rFonts w:ascii="Verdana" w:hAnsi="Verdana"/>
          <w:sz w:val="20"/>
          <w:szCs w:val="20"/>
        </w:rPr>
        <w:t>I bez zrušení CVTS by bylo vhodné doplnit národní šetření (možno na menším vzorku než CVTS) v mezidobí, při případném zrušení CVTS je takovýto národní zdroj informací pro udržení monitoringu podnikového vzdělávání nezbytný. Národní šetření by nemuselo pokrývat celou problematiku CVTS, lze uvažovat o připojení klíčových otázek k některému stávajícímu výkazu.</w:t>
      </w:r>
    </w:p>
    <w:p w:rsidR="00DF35D2" w:rsidRPr="00025B12" w:rsidRDefault="007C54D9" w:rsidP="009C616A">
      <w:pPr>
        <w:numPr>
          <w:ilvl w:val="1"/>
          <w:numId w:val="38"/>
        </w:numPr>
        <w:ind w:left="851"/>
        <w:jc w:val="both"/>
        <w:rPr>
          <w:rFonts w:ascii="Verdana" w:hAnsi="Verdana"/>
          <w:sz w:val="20"/>
          <w:szCs w:val="20"/>
        </w:rPr>
      </w:pPr>
      <w:r w:rsidRPr="00025B12">
        <w:rPr>
          <w:rFonts w:ascii="Verdana" w:hAnsi="Verdana"/>
          <w:sz w:val="20"/>
          <w:szCs w:val="20"/>
        </w:rPr>
        <w:t xml:space="preserve">Zdroje zajišťované </w:t>
      </w:r>
      <w:r w:rsidRPr="00025B12">
        <w:rPr>
          <w:rFonts w:ascii="Verdana" w:hAnsi="Verdana"/>
          <w:b/>
          <w:sz w:val="20"/>
          <w:szCs w:val="20"/>
        </w:rPr>
        <w:t>Ústavem pro informace ve vzdělávání</w:t>
      </w:r>
      <w:r w:rsidRPr="00025B12">
        <w:rPr>
          <w:rFonts w:ascii="Verdana" w:hAnsi="Verdana"/>
          <w:sz w:val="20"/>
          <w:szCs w:val="20"/>
        </w:rPr>
        <w:t xml:space="preserve"> – ÚIV bude z rozhodnutí MŠMT </w:t>
      </w:r>
      <w:r w:rsidR="00E6545F" w:rsidRPr="00025B12">
        <w:rPr>
          <w:rFonts w:ascii="Verdana" w:hAnsi="Verdana"/>
          <w:sz w:val="20"/>
          <w:szCs w:val="20"/>
        </w:rPr>
        <w:t>zrušen, jeho aktivity přecházejí pod Českou školní inspekci a některé aktivity mohou proto být ohroženy.</w:t>
      </w:r>
      <w:r w:rsidR="00622E67" w:rsidRPr="00025B12">
        <w:rPr>
          <w:rFonts w:ascii="Verdana" w:hAnsi="Verdana"/>
          <w:sz w:val="20"/>
          <w:szCs w:val="20"/>
        </w:rPr>
        <w:t xml:space="preserve"> Některé indikátory jsou závislé na státem garantovaných informačních zdrojích (školská matrika, výkazy na základě Programu statistických zjišťování a školského zákony). Další indikátory však vycházejí např. z šetření SET či </w:t>
      </w:r>
      <w:r w:rsidR="00E61BA8" w:rsidRPr="00025B12">
        <w:rPr>
          <w:rFonts w:ascii="Verdana" w:hAnsi="Verdana"/>
          <w:sz w:val="20"/>
          <w:szCs w:val="20"/>
        </w:rPr>
        <w:t>Šetření akreditovaných programů</w:t>
      </w:r>
      <w:r w:rsidR="00DF35D2" w:rsidRPr="00025B12">
        <w:rPr>
          <w:rFonts w:ascii="Verdana" w:hAnsi="Verdana"/>
          <w:sz w:val="20"/>
          <w:szCs w:val="20"/>
        </w:rPr>
        <w:t xml:space="preserve"> a nejsou garantovány zákonem, jejich fungování tedy závisí na tom, zda se podaří v budoucnu institucionálně zajistit jejich realizaci.</w:t>
      </w:r>
    </w:p>
    <w:p w:rsidR="00E34CBC" w:rsidRPr="00025B12" w:rsidRDefault="00E34CBC" w:rsidP="006A68CB">
      <w:pPr>
        <w:spacing w:after="0"/>
        <w:ind w:left="851"/>
        <w:jc w:val="both"/>
        <w:rPr>
          <w:rFonts w:ascii="Verdana" w:hAnsi="Verdana"/>
          <w:b/>
          <w:i/>
          <w:sz w:val="20"/>
          <w:szCs w:val="20"/>
        </w:rPr>
      </w:pPr>
      <w:r w:rsidRPr="00025B12">
        <w:rPr>
          <w:rFonts w:ascii="Verdana" w:hAnsi="Verdana"/>
          <w:b/>
          <w:i/>
          <w:sz w:val="20"/>
          <w:szCs w:val="20"/>
        </w:rPr>
        <w:t>Na zákonně garantovaných údajích zjišťovaných ÚIV závisejí indikátory</w:t>
      </w:r>
      <w:r w:rsidR="006A68CB" w:rsidRPr="00025B12">
        <w:rPr>
          <w:rFonts w:ascii="Verdana" w:hAnsi="Verdana"/>
          <w:b/>
          <w:i/>
          <w:sz w:val="20"/>
          <w:szCs w:val="20"/>
        </w:rPr>
        <w:t xml:space="preserve"> III.1.1, III.1.d1, IV.1.1, IV.1.d4</w:t>
      </w:r>
    </w:p>
    <w:p w:rsidR="00E34CBC" w:rsidRPr="00025B12" w:rsidRDefault="00E34CBC" w:rsidP="006A68CB">
      <w:pPr>
        <w:spacing w:after="0"/>
        <w:ind w:left="851"/>
        <w:jc w:val="both"/>
        <w:rPr>
          <w:rFonts w:ascii="Verdana" w:hAnsi="Verdana"/>
          <w:b/>
          <w:i/>
          <w:sz w:val="20"/>
          <w:szCs w:val="20"/>
        </w:rPr>
      </w:pPr>
      <w:r w:rsidRPr="00025B12">
        <w:rPr>
          <w:rFonts w:ascii="Verdana" w:hAnsi="Verdana"/>
          <w:b/>
          <w:i/>
          <w:sz w:val="20"/>
          <w:szCs w:val="20"/>
        </w:rPr>
        <w:t>Na Šetření akreditovaných programů jsou závislé indikátory</w:t>
      </w:r>
      <w:r w:rsidR="006A68CB" w:rsidRPr="00025B12">
        <w:rPr>
          <w:rFonts w:ascii="Verdana" w:hAnsi="Verdana"/>
          <w:b/>
          <w:i/>
          <w:sz w:val="20"/>
          <w:szCs w:val="20"/>
        </w:rPr>
        <w:t xml:space="preserve"> II.4.3, II.4.d2, IV.2.d3</w:t>
      </w:r>
    </w:p>
    <w:p w:rsidR="007C54D9" w:rsidRPr="00025B12" w:rsidRDefault="00E34CBC" w:rsidP="009C616A">
      <w:pPr>
        <w:ind w:left="851"/>
        <w:jc w:val="both"/>
        <w:rPr>
          <w:rFonts w:ascii="Verdana" w:hAnsi="Verdana"/>
          <w:b/>
          <w:i/>
          <w:sz w:val="20"/>
          <w:szCs w:val="20"/>
        </w:rPr>
      </w:pPr>
      <w:r w:rsidRPr="00025B12">
        <w:rPr>
          <w:rFonts w:ascii="Verdana" w:hAnsi="Verdana"/>
          <w:b/>
          <w:i/>
          <w:sz w:val="20"/>
          <w:szCs w:val="20"/>
        </w:rPr>
        <w:t xml:space="preserve">Na </w:t>
      </w:r>
      <w:r w:rsidR="00622E67" w:rsidRPr="00025B12">
        <w:rPr>
          <w:rFonts w:ascii="Verdana" w:hAnsi="Verdana"/>
          <w:b/>
          <w:i/>
          <w:sz w:val="20"/>
          <w:szCs w:val="20"/>
        </w:rPr>
        <w:t xml:space="preserve"> </w:t>
      </w:r>
      <w:r w:rsidRPr="00025B12">
        <w:rPr>
          <w:rFonts w:ascii="Verdana" w:hAnsi="Verdana"/>
          <w:b/>
          <w:i/>
          <w:sz w:val="20"/>
          <w:szCs w:val="20"/>
        </w:rPr>
        <w:t>šetření SET j</w:t>
      </w:r>
      <w:r w:rsidR="006A68CB" w:rsidRPr="00025B12">
        <w:rPr>
          <w:rFonts w:ascii="Verdana" w:hAnsi="Verdana"/>
          <w:b/>
          <w:i/>
          <w:sz w:val="20"/>
          <w:szCs w:val="20"/>
        </w:rPr>
        <w:t>sou</w:t>
      </w:r>
      <w:r w:rsidRPr="00025B12">
        <w:rPr>
          <w:rFonts w:ascii="Verdana" w:hAnsi="Verdana"/>
          <w:b/>
          <w:i/>
          <w:sz w:val="20"/>
          <w:szCs w:val="20"/>
        </w:rPr>
        <w:t xml:space="preserve"> závisl</w:t>
      </w:r>
      <w:r w:rsidR="006A68CB" w:rsidRPr="00025B12">
        <w:rPr>
          <w:rFonts w:ascii="Verdana" w:hAnsi="Verdana"/>
          <w:b/>
          <w:i/>
          <w:sz w:val="20"/>
          <w:szCs w:val="20"/>
        </w:rPr>
        <w:t>é</w:t>
      </w:r>
      <w:r w:rsidRPr="00025B12">
        <w:rPr>
          <w:rFonts w:ascii="Verdana" w:hAnsi="Verdana"/>
          <w:b/>
          <w:i/>
          <w:sz w:val="20"/>
          <w:szCs w:val="20"/>
        </w:rPr>
        <w:t xml:space="preserve"> indikátor</w:t>
      </w:r>
      <w:r w:rsidR="006A68CB" w:rsidRPr="00025B12">
        <w:rPr>
          <w:rFonts w:ascii="Verdana" w:hAnsi="Verdana"/>
          <w:b/>
          <w:i/>
          <w:sz w:val="20"/>
          <w:szCs w:val="20"/>
        </w:rPr>
        <w:t>y III.1.1, III.1.d1</w:t>
      </w:r>
    </w:p>
    <w:p w:rsidR="00805AD7" w:rsidRPr="00025B12" w:rsidRDefault="00805AD7" w:rsidP="007728F3">
      <w:pPr>
        <w:numPr>
          <w:ilvl w:val="1"/>
          <w:numId w:val="38"/>
        </w:numPr>
        <w:ind w:left="851"/>
        <w:jc w:val="both"/>
        <w:rPr>
          <w:rFonts w:ascii="Verdana" w:hAnsi="Verdana"/>
          <w:b/>
          <w:sz w:val="20"/>
          <w:szCs w:val="20"/>
        </w:rPr>
      </w:pPr>
      <w:r w:rsidRPr="00025B12">
        <w:rPr>
          <w:rFonts w:ascii="Verdana" w:hAnsi="Verdana"/>
          <w:b/>
          <w:sz w:val="20"/>
          <w:szCs w:val="20"/>
        </w:rPr>
        <w:t>ISPV</w:t>
      </w:r>
      <w:r w:rsidR="00E34CBC" w:rsidRPr="00025B12">
        <w:rPr>
          <w:rFonts w:ascii="Verdana" w:hAnsi="Verdana"/>
          <w:b/>
          <w:sz w:val="20"/>
          <w:szCs w:val="20"/>
        </w:rPr>
        <w:t xml:space="preserve"> </w:t>
      </w:r>
      <w:r w:rsidR="007728F3" w:rsidRPr="00025B12">
        <w:rPr>
          <w:rFonts w:ascii="Verdana" w:hAnsi="Verdana"/>
          <w:sz w:val="20"/>
          <w:szCs w:val="20"/>
        </w:rPr>
        <w:t>- v současnosti probíhají diskuze o zrušení šetření ISPV.</w:t>
      </w:r>
      <w:r w:rsidR="007728F3" w:rsidRPr="00025B12">
        <w:rPr>
          <w:rFonts w:ascii="Verdana" w:hAnsi="Verdana"/>
          <w:b/>
          <w:sz w:val="20"/>
          <w:szCs w:val="20"/>
        </w:rPr>
        <w:t xml:space="preserve"> </w:t>
      </w:r>
      <w:r w:rsidR="007728F3" w:rsidRPr="00025B12">
        <w:rPr>
          <w:rFonts w:ascii="Verdana" w:hAnsi="Verdana"/>
          <w:sz w:val="20"/>
          <w:szCs w:val="20"/>
        </w:rPr>
        <w:t>Š</w:t>
      </w:r>
      <w:r w:rsidR="00BD377B" w:rsidRPr="00025B12">
        <w:rPr>
          <w:rFonts w:ascii="Verdana" w:hAnsi="Verdana"/>
          <w:sz w:val="20"/>
          <w:szCs w:val="20"/>
        </w:rPr>
        <w:t xml:space="preserve">etření </w:t>
      </w:r>
      <w:r w:rsidR="007728F3" w:rsidRPr="00025B12">
        <w:rPr>
          <w:rFonts w:ascii="Verdana" w:hAnsi="Verdana"/>
          <w:sz w:val="20"/>
          <w:szCs w:val="20"/>
        </w:rPr>
        <w:t xml:space="preserve">ISPV je zdrojem informací o mzdových diferenciacích podle vzdělávání pro </w:t>
      </w:r>
      <w:r w:rsidR="007728F3" w:rsidRPr="00025B12">
        <w:rPr>
          <w:rFonts w:ascii="Verdana" w:hAnsi="Verdana"/>
          <w:b/>
          <w:i/>
          <w:sz w:val="20"/>
          <w:szCs w:val="20"/>
        </w:rPr>
        <w:t xml:space="preserve">indikátor </w:t>
      </w:r>
      <w:r w:rsidR="006A68CB" w:rsidRPr="00025B12">
        <w:rPr>
          <w:rFonts w:ascii="Verdana" w:hAnsi="Verdana"/>
          <w:b/>
          <w:i/>
          <w:sz w:val="20"/>
          <w:szCs w:val="20"/>
        </w:rPr>
        <w:t>I.2.1</w:t>
      </w:r>
      <w:r w:rsidR="006A68CB" w:rsidRPr="00025B12">
        <w:rPr>
          <w:rFonts w:ascii="Verdana" w:hAnsi="Verdana"/>
          <w:sz w:val="20"/>
          <w:szCs w:val="20"/>
        </w:rPr>
        <w:t xml:space="preserve"> </w:t>
      </w:r>
      <w:r w:rsidR="007728F3" w:rsidRPr="00025B12">
        <w:rPr>
          <w:rFonts w:ascii="Verdana" w:hAnsi="Verdana"/>
          <w:sz w:val="20"/>
          <w:szCs w:val="20"/>
        </w:rPr>
        <w:t>v rámci pilíře Kon</w:t>
      </w:r>
      <w:r w:rsidR="006A68CB" w:rsidRPr="00025B12">
        <w:rPr>
          <w:rFonts w:ascii="Verdana" w:hAnsi="Verdana"/>
          <w:sz w:val="20"/>
          <w:szCs w:val="20"/>
        </w:rPr>
        <w:t>text</w:t>
      </w:r>
      <w:r w:rsidR="007728F3" w:rsidRPr="00025B12">
        <w:rPr>
          <w:rFonts w:ascii="Verdana" w:hAnsi="Verdana"/>
          <w:sz w:val="20"/>
          <w:szCs w:val="20"/>
        </w:rPr>
        <w:t>.</w:t>
      </w:r>
    </w:p>
    <w:p w:rsidR="00622E67" w:rsidRPr="00025B12" w:rsidRDefault="00622E67" w:rsidP="009C616A">
      <w:pPr>
        <w:numPr>
          <w:ilvl w:val="1"/>
          <w:numId w:val="38"/>
        </w:numPr>
        <w:ind w:left="851"/>
        <w:jc w:val="both"/>
        <w:rPr>
          <w:rFonts w:ascii="Verdana" w:hAnsi="Verdana"/>
          <w:sz w:val="20"/>
          <w:szCs w:val="20"/>
        </w:rPr>
      </w:pPr>
      <w:r w:rsidRPr="00025B12">
        <w:rPr>
          <w:rFonts w:ascii="Verdana" w:hAnsi="Verdana"/>
          <w:sz w:val="20"/>
          <w:szCs w:val="20"/>
        </w:rPr>
        <w:lastRenderedPageBreak/>
        <w:t>Zmenšení vzorku VŠPS je plánováno od roku 2013, což negativně ovlivní reprezentativity výsledků na regionální úrovni.</w:t>
      </w:r>
      <w:r w:rsidR="00E34CBC" w:rsidRPr="00025B12">
        <w:rPr>
          <w:rFonts w:ascii="Verdana" w:hAnsi="Verdana"/>
          <w:sz w:val="20"/>
          <w:szCs w:val="20"/>
        </w:rPr>
        <w:t xml:space="preserve"> </w:t>
      </w:r>
      <w:r w:rsidR="00E34CBC" w:rsidRPr="00025B12">
        <w:rPr>
          <w:rFonts w:ascii="Verdana" w:hAnsi="Verdana"/>
          <w:b/>
          <w:i/>
          <w:sz w:val="20"/>
          <w:szCs w:val="20"/>
        </w:rPr>
        <w:t>Dotčeny budou indikátory měřící účast populace na dalším vzdělávání i některé kontextuální indikátory.</w:t>
      </w:r>
    </w:p>
    <w:p w:rsidR="001C15AD" w:rsidRPr="00025B12" w:rsidRDefault="001C15AD" w:rsidP="00521BE8">
      <w:pPr>
        <w:ind w:left="426"/>
        <w:jc w:val="both"/>
      </w:pPr>
    </w:p>
    <w:p w:rsidR="002F55BC" w:rsidRPr="00025B12" w:rsidRDefault="001C15AD" w:rsidP="001E2C09">
      <w:pPr>
        <w:pStyle w:val="Nadpiskonc1"/>
        <w:numPr>
          <w:ilvl w:val="0"/>
          <w:numId w:val="0"/>
        </w:numPr>
        <w:pBdr>
          <w:top w:val="single" w:sz="4" w:space="1" w:color="000000"/>
          <w:left w:val="single" w:sz="4" w:space="4" w:color="000000"/>
          <w:bottom w:val="single" w:sz="4" w:space="1" w:color="000000"/>
          <w:right w:val="single" w:sz="4" w:space="4" w:color="000000"/>
        </w:pBdr>
        <w:rPr>
          <w:rFonts w:ascii="Verdana" w:hAnsi="Verdana"/>
          <w:sz w:val="36"/>
          <w:szCs w:val="36"/>
        </w:rPr>
      </w:pPr>
      <w:r w:rsidRPr="00025B12">
        <w:br w:type="page"/>
      </w:r>
      <w:bookmarkStart w:id="143" w:name="_Toc304898626"/>
      <w:r w:rsidR="00A14B59" w:rsidRPr="00025B12">
        <w:rPr>
          <w:rFonts w:ascii="Verdana" w:hAnsi="Verdana"/>
          <w:sz w:val="36"/>
          <w:szCs w:val="36"/>
        </w:rPr>
        <w:lastRenderedPageBreak/>
        <w:t>P</w:t>
      </w:r>
      <w:bookmarkEnd w:id="141"/>
      <w:r w:rsidR="0005115F" w:rsidRPr="00025B12">
        <w:rPr>
          <w:rFonts w:ascii="Verdana" w:hAnsi="Verdana"/>
          <w:sz w:val="36"/>
          <w:szCs w:val="36"/>
        </w:rPr>
        <w:t>řílohy</w:t>
      </w:r>
      <w:bookmarkEnd w:id="142"/>
      <w:bookmarkEnd w:id="143"/>
    </w:p>
    <w:p w:rsidR="00333E38" w:rsidRPr="00025B12" w:rsidRDefault="00333E38" w:rsidP="00333E38">
      <w:pPr>
        <w:jc w:val="both"/>
        <w:outlineLvl w:val="0"/>
        <w:rPr>
          <w:rFonts w:ascii="Verdana" w:hAnsi="Verdana"/>
          <w:b/>
          <w:sz w:val="20"/>
          <w:szCs w:val="20"/>
          <w:u w:val="single"/>
        </w:rPr>
      </w:pPr>
      <w:r w:rsidRPr="00025B12">
        <w:rPr>
          <w:rFonts w:ascii="Verdana" w:hAnsi="Verdana"/>
          <w:b/>
          <w:sz w:val="20"/>
          <w:szCs w:val="20"/>
          <w:u w:val="single"/>
        </w:rPr>
        <w:t xml:space="preserve">Příloha 1 - </w:t>
      </w:r>
      <w:hyperlink w:anchor="Popis_šetření" w:history="1">
        <w:r w:rsidRPr="00025B12">
          <w:rPr>
            <w:rStyle w:val="Hypertextovodkaz"/>
            <w:rFonts w:ascii="Verdana" w:hAnsi="Verdana"/>
            <w:b/>
            <w:sz w:val="20"/>
            <w:szCs w:val="20"/>
          </w:rPr>
          <w:t>Informace o šetřeních</w:t>
        </w:r>
      </w:hyperlink>
    </w:p>
    <w:p w:rsidR="00333E38" w:rsidRPr="00025B12" w:rsidRDefault="00333E38" w:rsidP="00333E38">
      <w:pPr>
        <w:jc w:val="both"/>
        <w:outlineLvl w:val="0"/>
        <w:rPr>
          <w:rFonts w:ascii="Verdana" w:hAnsi="Verdana"/>
          <w:b/>
          <w:sz w:val="20"/>
          <w:szCs w:val="20"/>
          <w:u w:val="single"/>
        </w:rPr>
      </w:pPr>
      <w:r w:rsidRPr="00025B12">
        <w:rPr>
          <w:rFonts w:ascii="Verdana" w:hAnsi="Verdana"/>
          <w:b/>
          <w:sz w:val="20"/>
          <w:szCs w:val="20"/>
          <w:u w:val="single"/>
        </w:rPr>
        <w:t>Příloha 2:</w:t>
      </w:r>
      <w:r w:rsidR="00E85A40" w:rsidRPr="00025B12">
        <w:rPr>
          <w:rFonts w:ascii="Verdana" w:hAnsi="Verdana"/>
          <w:b/>
          <w:sz w:val="20"/>
          <w:szCs w:val="20"/>
          <w:u w:val="single"/>
        </w:rPr>
        <w:t xml:space="preserve"> -</w:t>
      </w:r>
      <w:r w:rsidRPr="00025B12">
        <w:rPr>
          <w:rFonts w:ascii="Verdana" w:hAnsi="Verdana"/>
          <w:b/>
          <w:sz w:val="20"/>
          <w:szCs w:val="20"/>
          <w:u w:val="single"/>
        </w:rPr>
        <w:t xml:space="preserve"> </w:t>
      </w:r>
      <w:hyperlink w:anchor="Pojmy" w:history="1">
        <w:r w:rsidRPr="00025B12">
          <w:rPr>
            <w:rStyle w:val="Hypertextovodkaz"/>
            <w:rFonts w:ascii="Verdana" w:hAnsi="Verdana"/>
            <w:b/>
            <w:sz w:val="20"/>
            <w:szCs w:val="20"/>
          </w:rPr>
          <w:t>Vysvětlení základních pojmů</w:t>
        </w:r>
      </w:hyperlink>
    </w:p>
    <w:p w:rsidR="005E0AE7" w:rsidRPr="00025B12" w:rsidRDefault="00333E38" w:rsidP="00BB7314">
      <w:pPr>
        <w:jc w:val="both"/>
        <w:rPr>
          <w:rFonts w:ascii="Verdana" w:hAnsi="Verdana"/>
          <w:b/>
          <w:sz w:val="20"/>
          <w:szCs w:val="20"/>
        </w:rPr>
      </w:pPr>
      <w:r w:rsidRPr="00025B12">
        <w:rPr>
          <w:rFonts w:ascii="Verdana" w:hAnsi="Verdana"/>
          <w:b/>
          <w:sz w:val="20"/>
          <w:szCs w:val="20"/>
        </w:rPr>
        <w:t>Příloha 3</w:t>
      </w:r>
      <w:r w:rsidR="00E85A40" w:rsidRPr="00025B12">
        <w:rPr>
          <w:rFonts w:ascii="Verdana" w:hAnsi="Verdana"/>
          <w:b/>
          <w:sz w:val="20"/>
          <w:szCs w:val="20"/>
        </w:rPr>
        <w:t xml:space="preserve"> – P</w:t>
      </w:r>
      <w:r w:rsidR="00EF7803" w:rsidRPr="00025B12">
        <w:rPr>
          <w:rFonts w:ascii="Verdana" w:hAnsi="Verdana"/>
          <w:b/>
          <w:sz w:val="20"/>
          <w:szCs w:val="20"/>
        </w:rPr>
        <w:t xml:space="preserve">řehled indikátorů (soubor </w:t>
      </w:r>
      <w:hyperlink r:id="rId19" w:history="1">
        <w:r w:rsidR="00E85A40" w:rsidRPr="00025B12">
          <w:rPr>
            <w:rStyle w:val="Hypertextovodkaz"/>
            <w:rFonts w:ascii="Verdana" w:hAnsi="Verdana"/>
            <w:b/>
            <w:sz w:val="20"/>
            <w:szCs w:val="20"/>
          </w:rPr>
          <w:t>Priloha3_</w:t>
        </w:r>
        <w:r w:rsidR="00E85A40" w:rsidRPr="00025B12">
          <w:rPr>
            <w:rStyle w:val="Hypertextovodkaz"/>
            <w:rFonts w:ascii="Verdana" w:hAnsi="Verdana"/>
            <w:b/>
            <w:sz w:val="20"/>
            <w:szCs w:val="20"/>
          </w:rPr>
          <w:t>p</w:t>
        </w:r>
        <w:r w:rsidR="00E85A40" w:rsidRPr="00025B12">
          <w:rPr>
            <w:rStyle w:val="Hypertextovodkaz"/>
            <w:rFonts w:ascii="Verdana" w:hAnsi="Verdana"/>
            <w:b/>
            <w:sz w:val="20"/>
            <w:szCs w:val="20"/>
          </w:rPr>
          <w:t>rehled indikatoru.xlsx</w:t>
        </w:r>
      </w:hyperlink>
      <w:r w:rsidR="00EF7803" w:rsidRPr="00025B12">
        <w:rPr>
          <w:rFonts w:ascii="Verdana" w:hAnsi="Verdana"/>
          <w:b/>
          <w:sz w:val="20"/>
          <w:szCs w:val="20"/>
        </w:rPr>
        <w:t>)</w:t>
      </w:r>
    </w:p>
    <w:p w:rsidR="00333E38" w:rsidRPr="00025B12" w:rsidRDefault="00333E38" w:rsidP="00333E38">
      <w:pPr>
        <w:jc w:val="both"/>
        <w:rPr>
          <w:rFonts w:ascii="Verdana" w:hAnsi="Verdana"/>
          <w:b/>
          <w:i/>
          <w:sz w:val="20"/>
          <w:szCs w:val="20"/>
        </w:rPr>
      </w:pPr>
      <w:r w:rsidRPr="00025B12">
        <w:rPr>
          <w:rFonts w:ascii="Verdana" w:hAnsi="Verdana"/>
          <w:b/>
          <w:sz w:val="20"/>
          <w:szCs w:val="20"/>
          <w:u w:val="single"/>
        </w:rPr>
        <w:t>Příloha 4</w:t>
      </w:r>
      <w:r w:rsidRPr="00025B12">
        <w:rPr>
          <w:rFonts w:ascii="Verdana" w:hAnsi="Verdana"/>
          <w:b/>
          <w:sz w:val="20"/>
          <w:szCs w:val="20"/>
        </w:rPr>
        <w:t xml:space="preserve">:     </w:t>
      </w:r>
      <w:r w:rsidRPr="00025B12">
        <w:rPr>
          <w:rFonts w:ascii="Verdana" w:hAnsi="Verdana"/>
          <w:b/>
          <w:i/>
          <w:sz w:val="20"/>
          <w:szCs w:val="20"/>
        </w:rPr>
        <w:t>Data k indikátorům pro pilíře Kontext, Vstupy, Pr</w:t>
      </w:r>
      <w:r w:rsidR="00FF5537" w:rsidRPr="00025B12">
        <w:rPr>
          <w:rFonts w:ascii="Verdana" w:hAnsi="Verdana"/>
          <w:b/>
          <w:i/>
          <w:sz w:val="20"/>
          <w:szCs w:val="20"/>
        </w:rPr>
        <w:t>ocesy, Výstupy (soubory data_xxx</w:t>
      </w:r>
      <w:r w:rsidRPr="00025B12">
        <w:rPr>
          <w:rFonts w:ascii="Verdana" w:hAnsi="Verdana"/>
          <w:b/>
          <w:i/>
          <w:sz w:val="20"/>
          <w:szCs w:val="20"/>
        </w:rPr>
        <w:t>.xlsx)</w:t>
      </w:r>
    </w:p>
    <w:p w:rsidR="00333E38" w:rsidRPr="00025B12" w:rsidRDefault="00333E38" w:rsidP="00333E38">
      <w:pPr>
        <w:jc w:val="both"/>
        <w:rPr>
          <w:rFonts w:ascii="Verdana" w:hAnsi="Verdana"/>
          <w:b/>
          <w:i/>
          <w:sz w:val="20"/>
          <w:szCs w:val="20"/>
        </w:rPr>
      </w:pPr>
      <w:r w:rsidRPr="00025B12">
        <w:rPr>
          <w:rFonts w:ascii="Verdana" w:hAnsi="Verdana"/>
          <w:b/>
          <w:sz w:val="20"/>
          <w:szCs w:val="20"/>
          <w:u w:val="single"/>
        </w:rPr>
        <w:t>Příloha 5</w:t>
      </w:r>
      <w:r w:rsidRPr="00025B12">
        <w:rPr>
          <w:rFonts w:ascii="Verdana" w:hAnsi="Verdana"/>
          <w:b/>
          <w:sz w:val="20"/>
          <w:szCs w:val="20"/>
        </w:rPr>
        <w:t xml:space="preserve">:     </w:t>
      </w:r>
      <w:r w:rsidRPr="00025B12">
        <w:rPr>
          <w:rFonts w:ascii="Verdana" w:hAnsi="Verdana"/>
          <w:b/>
          <w:i/>
          <w:sz w:val="20"/>
          <w:szCs w:val="20"/>
        </w:rPr>
        <w:t xml:space="preserve">Podkladová studie Analýza dat o nabídce kurzů dalšího vzdělávání a jejich využitelnost pro systém indikátorů DV (soubor </w:t>
      </w:r>
      <w:hyperlink r:id="rId20" w:history="1">
        <w:r w:rsidR="00E85A40" w:rsidRPr="00025B12">
          <w:rPr>
            <w:rStyle w:val="Hypertextovodkaz"/>
            <w:rFonts w:ascii="Verdana" w:hAnsi="Verdana"/>
            <w:b/>
            <w:i/>
            <w:sz w:val="20"/>
            <w:szCs w:val="20"/>
          </w:rPr>
          <w:t>Priloha5_podkladova_st</w:t>
        </w:r>
        <w:r w:rsidR="00E85A40" w:rsidRPr="00025B12">
          <w:rPr>
            <w:rStyle w:val="Hypertextovodkaz"/>
            <w:rFonts w:ascii="Verdana" w:hAnsi="Verdana"/>
            <w:b/>
            <w:i/>
            <w:sz w:val="20"/>
            <w:szCs w:val="20"/>
          </w:rPr>
          <w:t>u</w:t>
        </w:r>
        <w:r w:rsidR="00E85A40" w:rsidRPr="00025B12">
          <w:rPr>
            <w:rStyle w:val="Hypertextovodkaz"/>
            <w:rFonts w:ascii="Verdana" w:hAnsi="Verdana"/>
            <w:b/>
            <w:i/>
            <w:sz w:val="20"/>
            <w:szCs w:val="20"/>
          </w:rPr>
          <w:t>die_nabidka.</w:t>
        </w:r>
        <w:r w:rsidR="00E92034">
          <w:rPr>
            <w:rStyle w:val="Hypertextovodkaz"/>
            <w:rFonts w:ascii="Verdana" w:hAnsi="Verdana"/>
            <w:b/>
            <w:i/>
            <w:sz w:val="20"/>
            <w:szCs w:val="20"/>
          </w:rPr>
          <w:t>pdf</w:t>
        </w:r>
      </w:hyperlink>
      <w:r w:rsidRPr="00025B12">
        <w:rPr>
          <w:rFonts w:ascii="Verdana" w:hAnsi="Verdana"/>
          <w:b/>
          <w:i/>
          <w:sz w:val="20"/>
          <w:szCs w:val="20"/>
        </w:rPr>
        <w:t>)</w:t>
      </w:r>
    </w:p>
    <w:p w:rsidR="00B15A6C" w:rsidRPr="00025B12" w:rsidRDefault="00333E38" w:rsidP="000C6631">
      <w:pPr>
        <w:jc w:val="both"/>
        <w:outlineLvl w:val="0"/>
        <w:rPr>
          <w:rFonts w:ascii="Verdana" w:hAnsi="Verdana"/>
          <w:b/>
          <w:sz w:val="20"/>
          <w:szCs w:val="20"/>
        </w:rPr>
      </w:pPr>
      <w:r w:rsidRPr="00025B12">
        <w:rPr>
          <w:rFonts w:ascii="Verdana" w:hAnsi="Verdana"/>
          <w:b/>
          <w:sz w:val="20"/>
          <w:szCs w:val="20"/>
          <w:u w:val="single"/>
        </w:rPr>
        <w:t>Příloha 6</w:t>
      </w:r>
      <w:r w:rsidR="0015035B" w:rsidRPr="00025B12">
        <w:rPr>
          <w:rFonts w:ascii="Verdana" w:hAnsi="Verdana"/>
          <w:b/>
          <w:sz w:val="20"/>
          <w:szCs w:val="20"/>
          <w:u w:val="single"/>
        </w:rPr>
        <w:t>:</w:t>
      </w:r>
      <w:r w:rsidR="005704E6" w:rsidRPr="00025B12">
        <w:rPr>
          <w:rFonts w:ascii="Verdana" w:hAnsi="Verdana"/>
          <w:b/>
          <w:sz w:val="20"/>
          <w:szCs w:val="20"/>
        </w:rPr>
        <w:t xml:space="preserve">  </w:t>
      </w:r>
      <w:hyperlink r:id="rId21" w:history="1">
        <w:r w:rsidR="00B15A6C" w:rsidRPr="00025B12">
          <w:rPr>
            <w:rStyle w:val="Hypertextovodkaz"/>
            <w:rFonts w:ascii="Verdana" w:hAnsi="Verdana"/>
            <w:b/>
            <w:i/>
            <w:sz w:val="20"/>
            <w:szCs w:val="20"/>
          </w:rPr>
          <w:t>Dota</w:t>
        </w:r>
        <w:r w:rsidR="00B15A6C" w:rsidRPr="00025B12">
          <w:rPr>
            <w:rStyle w:val="Hypertextovodkaz"/>
            <w:rFonts w:ascii="Verdana" w:hAnsi="Verdana"/>
            <w:b/>
            <w:i/>
            <w:sz w:val="20"/>
            <w:szCs w:val="20"/>
          </w:rPr>
          <w:t>z</w:t>
        </w:r>
        <w:r w:rsidR="00B15A6C" w:rsidRPr="00025B12">
          <w:rPr>
            <w:rStyle w:val="Hypertextovodkaz"/>
            <w:rFonts w:ascii="Verdana" w:hAnsi="Verdana"/>
            <w:b/>
            <w:i/>
            <w:sz w:val="20"/>
            <w:szCs w:val="20"/>
          </w:rPr>
          <w:t>n</w:t>
        </w:r>
        <w:r w:rsidR="00B15A6C" w:rsidRPr="00025B12">
          <w:rPr>
            <w:rStyle w:val="Hypertextovodkaz"/>
            <w:rFonts w:ascii="Verdana" w:hAnsi="Verdana"/>
            <w:b/>
            <w:i/>
            <w:sz w:val="20"/>
            <w:szCs w:val="20"/>
          </w:rPr>
          <w:t>ík</w:t>
        </w:r>
        <w:r w:rsidR="00E1025F" w:rsidRPr="00025B12">
          <w:rPr>
            <w:rStyle w:val="Hypertextovodkaz"/>
            <w:rFonts w:ascii="Verdana" w:hAnsi="Verdana"/>
            <w:b/>
            <w:i/>
            <w:sz w:val="20"/>
            <w:szCs w:val="20"/>
          </w:rPr>
          <w:t>y</w:t>
        </w:r>
        <w:r w:rsidR="00B15A6C" w:rsidRPr="00025B12">
          <w:rPr>
            <w:rStyle w:val="Hypertextovodkaz"/>
            <w:rFonts w:ascii="Verdana" w:hAnsi="Verdana"/>
            <w:b/>
            <w:i/>
            <w:sz w:val="20"/>
            <w:szCs w:val="20"/>
          </w:rPr>
          <w:t xml:space="preserve"> k</w:t>
        </w:r>
        <w:r w:rsidR="00745855" w:rsidRPr="00025B12">
          <w:rPr>
            <w:rStyle w:val="Hypertextovodkaz"/>
            <w:rFonts w:ascii="Verdana" w:hAnsi="Verdana"/>
            <w:b/>
            <w:i/>
            <w:sz w:val="20"/>
            <w:szCs w:val="20"/>
          </w:rPr>
          <w:t> </w:t>
        </w:r>
        <w:r w:rsidR="00B15A6C" w:rsidRPr="00025B12">
          <w:rPr>
            <w:rStyle w:val="Hypertextovodkaz"/>
            <w:rFonts w:ascii="Verdana" w:hAnsi="Verdana"/>
            <w:b/>
            <w:i/>
            <w:sz w:val="20"/>
            <w:szCs w:val="20"/>
          </w:rPr>
          <w:t>anketě</w:t>
        </w:r>
      </w:hyperlink>
    </w:p>
    <w:p w:rsidR="00171D96" w:rsidRPr="00025B12" w:rsidRDefault="00171D96" w:rsidP="008C6791">
      <w:pPr>
        <w:jc w:val="both"/>
        <w:rPr>
          <w:rFonts w:ascii="Verdana" w:hAnsi="Verdana"/>
          <w:b/>
          <w:i/>
          <w:sz w:val="20"/>
          <w:szCs w:val="20"/>
        </w:rPr>
      </w:pPr>
      <w:r w:rsidRPr="00025B12">
        <w:rPr>
          <w:rFonts w:ascii="Verdana" w:hAnsi="Verdana"/>
          <w:b/>
          <w:sz w:val="20"/>
          <w:szCs w:val="20"/>
          <w:u w:val="single"/>
        </w:rPr>
        <w:t>Příloha 7:</w:t>
      </w:r>
      <w:r w:rsidRPr="00025B12">
        <w:rPr>
          <w:rFonts w:ascii="Verdana" w:hAnsi="Verdana"/>
          <w:b/>
          <w:i/>
          <w:sz w:val="20"/>
          <w:szCs w:val="20"/>
        </w:rPr>
        <w:t xml:space="preserve"> </w:t>
      </w:r>
      <w:hyperlink r:id="rId22" w:history="1">
        <w:r w:rsidR="00FF5537" w:rsidRPr="00025B12">
          <w:rPr>
            <w:rStyle w:val="Hypertextovodkaz"/>
            <w:rFonts w:ascii="Verdana" w:hAnsi="Verdana"/>
            <w:b/>
            <w:i/>
            <w:sz w:val="20"/>
            <w:szCs w:val="20"/>
          </w:rPr>
          <w:t>Zá</w:t>
        </w:r>
        <w:r w:rsidR="00FF5537" w:rsidRPr="00025B12">
          <w:rPr>
            <w:rStyle w:val="Hypertextovodkaz"/>
            <w:rFonts w:ascii="Verdana" w:hAnsi="Verdana"/>
            <w:b/>
            <w:i/>
            <w:sz w:val="20"/>
            <w:szCs w:val="20"/>
          </w:rPr>
          <w:t>p</w:t>
        </w:r>
        <w:r w:rsidR="00FF5537" w:rsidRPr="00025B12">
          <w:rPr>
            <w:rStyle w:val="Hypertextovodkaz"/>
            <w:rFonts w:ascii="Verdana" w:hAnsi="Verdana"/>
            <w:b/>
            <w:i/>
            <w:sz w:val="20"/>
            <w:szCs w:val="20"/>
          </w:rPr>
          <w:t>is z workshopu W6</w:t>
        </w:r>
      </w:hyperlink>
    </w:p>
    <w:p w:rsidR="00525EBD" w:rsidRPr="00025B12" w:rsidRDefault="00161BDC" w:rsidP="001E2C09">
      <w:pPr>
        <w:pStyle w:val="Nadpiskonc2"/>
        <w:numPr>
          <w:ilvl w:val="0"/>
          <w:numId w:val="0"/>
        </w:numPr>
        <w:ind w:left="360"/>
        <w:rPr>
          <w:rFonts w:ascii="Verdana" w:hAnsi="Verdana"/>
          <w:caps/>
        </w:rPr>
      </w:pPr>
      <w:r w:rsidRPr="00025B12">
        <w:rPr>
          <w:rFonts w:ascii="Verdana" w:hAnsi="Verdana"/>
          <w:b w:val="0"/>
          <w:sz w:val="20"/>
          <w:szCs w:val="20"/>
        </w:rPr>
        <w:br w:type="page"/>
      </w:r>
      <w:bookmarkStart w:id="144" w:name="Popis_šetření"/>
      <w:bookmarkStart w:id="145" w:name="_Toc304898627"/>
      <w:r w:rsidR="00525EBD" w:rsidRPr="00025B12">
        <w:rPr>
          <w:rFonts w:ascii="Verdana" w:hAnsi="Verdana"/>
          <w:caps/>
        </w:rPr>
        <w:lastRenderedPageBreak/>
        <w:t>Příloha 1: Popis informačních zdrojů a šetření</w:t>
      </w:r>
      <w:bookmarkEnd w:id="144"/>
      <w:bookmarkEnd w:id="145"/>
    </w:p>
    <w:p w:rsidR="000920DB" w:rsidRPr="00025B12" w:rsidRDefault="000920DB" w:rsidP="00641D19">
      <w:pPr>
        <w:numPr>
          <w:ilvl w:val="0"/>
          <w:numId w:val="25"/>
        </w:numPr>
        <w:spacing w:after="60" w:line="264" w:lineRule="auto"/>
        <w:ind w:left="714" w:hanging="357"/>
        <w:jc w:val="both"/>
        <w:rPr>
          <w:rFonts w:ascii="Verdana" w:eastAsia="Times New Roman" w:hAnsi="Verdana"/>
          <w:b/>
          <w:sz w:val="24"/>
          <w:szCs w:val="24"/>
          <w:lang w:eastAsia="cs-CZ"/>
        </w:rPr>
      </w:pPr>
      <w:bookmarkStart w:id="146" w:name="_Ref273626236"/>
      <w:bookmarkStart w:id="147" w:name="VŠPS"/>
      <w:r w:rsidRPr="00025B12">
        <w:rPr>
          <w:rFonts w:ascii="Verdana" w:eastAsia="Times New Roman" w:hAnsi="Verdana"/>
          <w:b/>
          <w:sz w:val="24"/>
          <w:szCs w:val="24"/>
          <w:lang w:eastAsia="cs-CZ"/>
        </w:rPr>
        <w:t>Výběrové šetření pracovních sil (Labour Force Survey)</w:t>
      </w:r>
      <w:bookmarkEnd w:id="146"/>
      <w:bookmarkEnd w:id="14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992"/>
        <w:gridCol w:w="6770"/>
      </w:tblGrid>
      <w:tr w:rsidR="000920DB" w:rsidRPr="00025B12" w:rsidTr="000920DB">
        <w:trPr>
          <w:jc w:val="center"/>
        </w:trPr>
        <w:tc>
          <w:tcPr>
            <w:tcW w:w="2518" w:type="dxa"/>
            <w:gridSpan w:val="2"/>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0920DB" w:rsidRPr="00025B12" w:rsidRDefault="000920DB"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Český statistický úřad</w:t>
            </w:r>
          </w:p>
        </w:tc>
      </w:tr>
      <w:tr w:rsidR="000920DB" w:rsidRPr="00025B12" w:rsidTr="000920DB">
        <w:trPr>
          <w:jc w:val="center"/>
        </w:trPr>
        <w:tc>
          <w:tcPr>
            <w:tcW w:w="2518" w:type="dxa"/>
            <w:gridSpan w:val="2"/>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Cílová populace:</w:t>
            </w:r>
          </w:p>
        </w:tc>
        <w:tc>
          <w:tcPr>
            <w:tcW w:w="6770" w:type="dxa"/>
            <w:shd w:val="clear" w:color="auto" w:fill="663399"/>
          </w:tcPr>
          <w:p w:rsidR="000920DB" w:rsidRPr="00025B12" w:rsidRDefault="000920DB"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Populace ve věku 15+</w:t>
            </w:r>
          </w:p>
        </w:tc>
      </w:tr>
      <w:tr w:rsidR="000920DB" w:rsidRPr="00025B12" w:rsidTr="000920DB">
        <w:trPr>
          <w:jc w:val="center"/>
        </w:trPr>
        <w:tc>
          <w:tcPr>
            <w:tcW w:w="2518" w:type="dxa"/>
            <w:gridSpan w:val="2"/>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0920DB" w:rsidRPr="00025B12" w:rsidRDefault="000920DB"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4x ročně</w:t>
            </w:r>
          </w:p>
        </w:tc>
      </w:tr>
      <w:tr w:rsidR="000920DB" w:rsidRPr="00025B12" w:rsidTr="000920DB">
        <w:trPr>
          <w:jc w:val="center"/>
        </w:trPr>
        <w:tc>
          <w:tcPr>
            <w:tcW w:w="2518" w:type="dxa"/>
            <w:gridSpan w:val="2"/>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Rozsah vzorku:</w:t>
            </w:r>
          </w:p>
        </w:tc>
        <w:tc>
          <w:tcPr>
            <w:tcW w:w="6770" w:type="dxa"/>
            <w:shd w:val="clear" w:color="auto" w:fill="663399"/>
          </w:tcPr>
          <w:p w:rsidR="000920DB" w:rsidRPr="00025B12" w:rsidRDefault="000920DB"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cca 50 000 osob, náhodný výběr domácnosti, v každém čtvrtletí obměněna ¼ vzorku</w:t>
            </w:r>
          </w:p>
        </w:tc>
      </w:tr>
      <w:tr w:rsidR="000920DB" w:rsidRPr="00025B12" w:rsidTr="000920DB">
        <w:trPr>
          <w:jc w:val="center"/>
        </w:trPr>
        <w:tc>
          <w:tcPr>
            <w:tcW w:w="2518" w:type="dxa"/>
            <w:gridSpan w:val="2"/>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0920DB" w:rsidRPr="00025B12" w:rsidRDefault="000920DB"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Mezinárodní (EU) – metodika harmonizována pod vedením Eurostatu</w:t>
            </w:r>
          </w:p>
        </w:tc>
      </w:tr>
      <w:tr w:rsidR="000920DB" w:rsidRPr="00025B12" w:rsidTr="000920DB">
        <w:trPr>
          <w:jc w:val="center"/>
        </w:trPr>
        <w:tc>
          <w:tcPr>
            <w:tcW w:w="9288" w:type="dxa"/>
            <w:gridSpan w:val="3"/>
          </w:tcPr>
          <w:p w:rsidR="000920DB" w:rsidRPr="00025B12" w:rsidRDefault="000920DB" w:rsidP="000920DB">
            <w:pPr>
              <w:spacing w:after="140" w:line="240"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Šetření je zaměřeno především na zapojení jedince na trhu práce, další vzdělávání je okrajovým tématem. Sledována je pouze účast na formálním a neformálním vzdělávání v posledních 4 týdnech. U formálního vzdělávání je dále sledován stupeň vzdělání, kterého se respondent účastní, u neformálního vzdělávání potom počet hodin strávených ve vzdělávání v posledních čtyřech týdnech. Tu je možné kombinovat s dalšími charakteristikami respondenta, v reálu je však podíl respondentů účastnících se vzdělávání v posledních čtyřech týdnech poměrně malý a možnosti třídění jsou z důvodu statistické spolehlivosti omezené. </w:t>
            </w:r>
          </w:p>
          <w:p w:rsidR="000920DB" w:rsidRPr="00025B12" w:rsidRDefault="000920DB" w:rsidP="000920DB">
            <w:pPr>
              <w:spacing w:after="140" w:line="240"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Jeho výhodou je časté zjišťování (pro účast na dalším vzdělávání se obvykle používají roční průměry za všechna čtyři čtvrtletí), existence již poměrně dlouhých časových řad (za srovnatelné metodiky od roku 2003, celkový indikátor účasti i za delší období) a jednotná mezinárodní metodika, která poskytuje možnost mezinárodní komparace.</w:t>
            </w:r>
          </w:p>
          <w:p w:rsidR="000920DB" w:rsidRPr="00025B12" w:rsidRDefault="000920DB" w:rsidP="000920DB">
            <w:pPr>
              <w:spacing w:after="140" w:line="240" w:lineRule="auto"/>
              <w:jc w:val="both"/>
              <w:rPr>
                <w:rFonts w:ascii="Verdana" w:hAnsi="Verdana" w:cs="Arial"/>
                <w:sz w:val="20"/>
                <w:szCs w:val="20"/>
              </w:rPr>
            </w:pPr>
          </w:p>
        </w:tc>
      </w:tr>
      <w:tr w:rsidR="000920DB" w:rsidRPr="00025B12" w:rsidTr="000920DB">
        <w:trPr>
          <w:jc w:val="center"/>
        </w:trPr>
        <w:tc>
          <w:tcPr>
            <w:tcW w:w="1526" w:type="dxa"/>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Dotazník:</w:t>
            </w:r>
          </w:p>
        </w:tc>
        <w:tc>
          <w:tcPr>
            <w:tcW w:w="7762" w:type="dxa"/>
            <w:gridSpan w:val="2"/>
          </w:tcPr>
          <w:p w:rsidR="000920DB" w:rsidRPr="00025B12" w:rsidRDefault="00665F1D" w:rsidP="000920DB">
            <w:pPr>
              <w:spacing w:after="60" w:line="264" w:lineRule="auto"/>
              <w:jc w:val="both"/>
              <w:rPr>
                <w:rFonts w:ascii="Verdana" w:eastAsia="Times New Roman" w:hAnsi="Verdana"/>
                <w:sz w:val="20"/>
                <w:szCs w:val="20"/>
                <w:lang w:eastAsia="cs-CZ"/>
              </w:rPr>
            </w:pPr>
            <w:hyperlink r:id="rId23" w:history="1">
              <w:r w:rsidR="000920DB" w:rsidRPr="00025B12">
                <w:rPr>
                  <w:rFonts w:ascii="Verdana" w:eastAsia="Times New Roman" w:hAnsi="Verdana"/>
                  <w:color w:val="0000FF"/>
                  <w:sz w:val="20"/>
                  <w:szCs w:val="18"/>
                  <w:u w:val="single"/>
                  <w:lang w:eastAsia="cs-CZ"/>
                </w:rPr>
                <w:t>http://circa.europa.eu/irc/dsis/employment/info/data/eu_lfs/LFS_CORE_National_Questionnaires/index_LFS_CORE_Questionnaires_by_years.htm</w:t>
              </w:r>
            </w:hyperlink>
            <w:r w:rsidR="000920DB" w:rsidRPr="00025B12">
              <w:rPr>
                <w:rFonts w:ascii="Verdana" w:eastAsia="Times New Roman" w:hAnsi="Verdana"/>
                <w:sz w:val="20"/>
                <w:szCs w:val="20"/>
                <w:lang w:eastAsia="cs-CZ"/>
              </w:rPr>
              <w:t xml:space="preserve"> </w:t>
            </w:r>
          </w:p>
        </w:tc>
      </w:tr>
      <w:tr w:rsidR="000920DB" w:rsidRPr="00025B12" w:rsidTr="000920DB">
        <w:trPr>
          <w:jc w:val="center"/>
        </w:trPr>
        <w:tc>
          <w:tcPr>
            <w:tcW w:w="1526" w:type="dxa"/>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Zdroj:</w:t>
            </w:r>
          </w:p>
        </w:tc>
        <w:tc>
          <w:tcPr>
            <w:tcW w:w="7762" w:type="dxa"/>
            <w:gridSpan w:val="2"/>
          </w:tcPr>
          <w:p w:rsidR="000920DB" w:rsidRPr="00025B12" w:rsidRDefault="000920DB" w:rsidP="000920DB">
            <w:pPr>
              <w:spacing w:after="6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ČSÚ - </w:t>
            </w:r>
            <w:hyperlink r:id="rId24" w:history="1">
              <w:r w:rsidRPr="00025B12">
                <w:rPr>
                  <w:rFonts w:ascii="Verdana" w:eastAsia="Times New Roman" w:hAnsi="Verdana"/>
                  <w:color w:val="0000FF"/>
                  <w:sz w:val="20"/>
                  <w:szCs w:val="18"/>
                  <w:u w:val="single"/>
                  <w:lang w:eastAsia="cs-CZ"/>
                </w:rPr>
                <w:t>http://www.czso.cz/csu/2009edicniplan.nsf/p/3101-09</w:t>
              </w:r>
            </w:hyperlink>
          </w:p>
          <w:p w:rsidR="000920DB" w:rsidRPr="00025B12" w:rsidRDefault="000920DB" w:rsidP="000920DB">
            <w:pPr>
              <w:spacing w:after="6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EUROSTAT - </w:t>
            </w:r>
            <w:hyperlink r:id="rId25" w:history="1">
              <w:r w:rsidRPr="00025B12">
                <w:rPr>
                  <w:rFonts w:ascii="Verdana" w:eastAsia="Times New Roman" w:hAnsi="Verdana"/>
                  <w:color w:val="0000FF"/>
                  <w:sz w:val="20"/>
                  <w:szCs w:val="18"/>
                  <w:u w:val="single"/>
                  <w:lang w:eastAsia="cs-CZ"/>
                </w:rPr>
                <w:t>http://circa.europa.eu/irc/dsis/employment/info/data/eu_lfs/index.htm</w:t>
              </w:r>
            </w:hyperlink>
            <w:r w:rsidRPr="00025B12">
              <w:rPr>
                <w:rFonts w:ascii="Verdana" w:eastAsia="Times New Roman" w:hAnsi="Verdana"/>
                <w:sz w:val="20"/>
                <w:szCs w:val="20"/>
                <w:lang w:eastAsia="cs-CZ"/>
              </w:rPr>
              <w:t xml:space="preserve"> </w:t>
            </w:r>
          </w:p>
        </w:tc>
      </w:tr>
    </w:tbl>
    <w:p w:rsidR="000920DB" w:rsidRPr="00025B12" w:rsidRDefault="000920DB" w:rsidP="000920DB">
      <w:pPr>
        <w:spacing w:after="60" w:line="264" w:lineRule="auto"/>
        <w:ind w:left="720"/>
        <w:jc w:val="both"/>
        <w:rPr>
          <w:rFonts w:ascii="Verdana" w:eastAsia="Times New Roman" w:hAnsi="Verdana"/>
          <w:b/>
          <w:sz w:val="20"/>
          <w:szCs w:val="20"/>
          <w:lang w:eastAsia="cs-CZ"/>
        </w:rPr>
      </w:pPr>
    </w:p>
    <w:p w:rsidR="00525EBD" w:rsidRPr="00025B12" w:rsidRDefault="00525EBD" w:rsidP="008C6791">
      <w:pPr>
        <w:jc w:val="both"/>
        <w:rPr>
          <w:rFonts w:ascii="Verdana" w:hAnsi="Verdana"/>
          <w:b/>
          <w:sz w:val="20"/>
          <w:szCs w:val="20"/>
        </w:rPr>
      </w:pPr>
    </w:p>
    <w:p w:rsidR="000920DB" w:rsidRPr="00025B12" w:rsidRDefault="000920DB" w:rsidP="00641D19">
      <w:pPr>
        <w:numPr>
          <w:ilvl w:val="0"/>
          <w:numId w:val="25"/>
        </w:numPr>
        <w:spacing w:after="60" w:line="264" w:lineRule="auto"/>
        <w:ind w:left="714" w:hanging="357"/>
        <w:jc w:val="both"/>
        <w:rPr>
          <w:rFonts w:ascii="Verdana" w:eastAsia="Times New Roman" w:hAnsi="Verdana"/>
          <w:b/>
          <w:sz w:val="24"/>
          <w:szCs w:val="24"/>
          <w:lang w:eastAsia="cs-CZ"/>
        </w:rPr>
      </w:pPr>
      <w:bookmarkStart w:id="148" w:name="_Ref273627443"/>
      <w:bookmarkStart w:id="149" w:name="AES"/>
      <w:r w:rsidRPr="00025B12">
        <w:rPr>
          <w:rFonts w:ascii="Verdana" w:eastAsia="Times New Roman" w:hAnsi="Verdana"/>
          <w:b/>
          <w:sz w:val="24"/>
          <w:szCs w:val="24"/>
          <w:lang w:eastAsia="cs-CZ"/>
        </w:rPr>
        <w:t>Další vzdělávání dospělých (Adult Education Survey)</w:t>
      </w:r>
      <w:bookmarkEnd w:id="14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134"/>
        <w:gridCol w:w="6770"/>
      </w:tblGrid>
      <w:tr w:rsidR="000920DB" w:rsidRPr="00025B12" w:rsidTr="000920DB">
        <w:trPr>
          <w:jc w:val="center"/>
        </w:trPr>
        <w:tc>
          <w:tcPr>
            <w:tcW w:w="2518" w:type="dxa"/>
            <w:gridSpan w:val="2"/>
            <w:shd w:val="clear" w:color="auto" w:fill="663399"/>
          </w:tcPr>
          <w:bookmarkEnd w:id="149"/>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0920DB" w:rsidRPr="00025B12" w:rsidRDefault="000920DB"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Český statistický úřad</w:t>
            </w:r>
          </w:p>
        </w:tc>
      </w:tr>
      <w:tr w:rsidR="000920DB" w:rsidRPr="00025B12" w:rsidTr="000920DB">
        <w:trPr>
          <w:jc w:val="center"/>
        </w:trPr>
        <w:tc>
          <w:tcPr>
            <w:tcW w:w="2518" w:type="dxa"/>
            <w:gridSpan w:val="2"/>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Cílová populace:</w:t>
            </w:r>
          </w:p>
        </w:tc>
        <w:tc>
          <w:tcPr>
            <w:tcW w:w="6770" w:type="dxa"/>
            <w:shd w:val="clear" w:color="auto" w:fill="663399"/>
          </w:tcPr>
          <w:p w:rsidR="000920DB" w:rsidRPr="00025B12" w:rsidRDefault="000920DB"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Populace ve věku 25-64 let</w:t>
            </w:r>
          </w:p>
        </w:tc>
      </w:tr>
      <w:tr w:rsidR="000920DB" w:rsidRPr="00025B12" w:rsidTr="000920DB">
        <w:trPr>
          <w:jc w:val="center"/>
        </w:trPr>
        <w:tc>
          <w:tcPr>
            <w:tcW w:w="2518" w:type="dxa"/>
            <w:gridSpan w:val="2"/>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0920DB" w:rsidRPr="00025B12" w:rsidRDefault="000920DB"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5 let (poprvé 2008, referenční rok 2007, další kolo 2011)</w:t>
            </w:r>
          </w:p>
        </w:tc>
      </w:tr>
      <w:tr w:rsidR="000920DB" w:rsidRPr="00025B12" w:rsidTr="000920DB">
        <w:trPr>
          <w:jc w:val="center"/>
        </w:trPr>
        <w:tc>
          <w:tcPr>
            <w:tcW w:w="2518" w:type="dxa"/>
            <w:gridSpan w:val="2"/>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Rozsah vzorku:</w:t>
            </w:r>
          </w:p>
        </w:tc>
        <w:tc>
          <w:tcPr>
            <w:tcW w:w="6770" w:type="dxa"/>
            <w:shd w:val="clear" w:color="auto" w:fill="663399"/>
          </w:tcPr>
          <w:p w:rsidR="000920DB" w:rsidRPr="00025B12" w:rsidRDefault="000920DB"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9500 osob</w:t>
            </w:r>
          </w:p>
        </w:tc>
      </w:tr>
      <w:tr w:rsidR="000920DB" w:rsidRPr="00025B12" w:rsidTr="000920DB">
        <w:trPr>
          <w:jc w:val="center"/>
        </w:trPr>
        <w:tc>
          <w:tcPr>
            <w:tcW w:w="2518" w:type="dxa"/>
            <w:gridSpan w:val="2"/>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0920DB" w:rsidRPr="00025B12" w:rsidRDefault="000920DB"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Mezinárodní (EU) metodika harmonizována pod vedením Eurostatu</w:t>
            </w:r>
          </w:p>
        </w:tc>
      </w:tr>
      <w:tr w:rsidR="000920DB" w:rsidRPr="00025B12" w:rsidTr="000920DB">
        <w:trPr>
          <w:jc w:val="center"/>
        </w:trPr>
        <w:tc>
          <w:tcPr>
            <w:tcW w:w="9288" w:type="dxa"/>
            <w:gridSpan w:val="3"/>
          </w:tcPr>
          <w:p w:rsidR="000920DB" w:rsidRPr="00025B12" w:rsidRDefault="000920DB" w:rsidP="000920DB">
            <w:pPr>
              <w:autoSpaceDE w:val="0"/>
              <w:autoSpaceDN w:val="0"/>
              <w:adjustRightInd w:val="0"/>
              <w:spacing w:after="140" w:line="240" w:lineRule="auto"/>
              <w:jc w:val="both"/>
              <w:rPr>
                <w:rFonts w:ascii="Verdana" w:hAnsi="Verdana" w:cs="Arial"/>
                <w:sz w:val="20"/>
                <w:szCs w:val="20"/>
              </w:rPr>
            </w:pPr>
          </w:p>
          <w:p w:rsidR="000920DB" w:rsidRPr="00025B12" w:rsidRDefault="000920DB" w:rsidP="000920DB">
            <w:pPr>
              <w:autoSpaceDE w:val="0"/>
              <w:autoSpaceDN w:val="0"/>
              <w:adjustRightInd w:val="0"/>
              <w:spacing w:after="140" w:line="240" w:lineRule="auto"/>
              <w:jc w:val="both"/>
              <w:rPr>
                <w:rFonts w:ascii="Verdana" w:hAnsi="Verdana" w:cs="Arial"/>
                <w:sz w:val="20"/>
                <w:szCs w:val="20"/>
              </w:rPr>
            </w:pPr>
            <w:r w:rsidRPr="00025B12">
              <w:rPr>
                <w:rFonts w:ascii="Verdana" w:hAnsi="Verdana" w:cs="Arial"/>
                <w:sz w:val="20"/>
                <w:szCs w:val="20"/>
              </w:rPr>
              <w:t>Zmíněné šetření začalo probíhat od roku 2005 a v roce 2008 se ho účastnil v rámci grantového projektu také ČSÚ (v zásadě za referenční období roku 2007). V období let 2005 – 2008 proběhlo uvedené šetření ve 29 evropských zemích.</w:t>
            </w:r>
          </w:p>
          <w:p w:rsidR="000920DB" w:rsidRPr="00025B12" w:rsidRDefault="000920DB" w:rsidP="000920DB">
            <w:pPr>
              <w:autoSpaceDE w:val="0"/>
              <w:autoSpaceDN w:val="0"/>
              <w:adjustRightInd w:val="0"/>
              <w:spacing w:after="140" w:line="240" w:lineRule="auto"/>
              <w:jc w:val="both"/>
              <w:rPr>
                <w:rFonts w:ascii="Verdana" w:hAnsi="Verdana" w:cs="Arial"/>
                <w:sz w:val="20"/>
                <w:szCs w:val="20"/>
              </w:rPr>
            </w:pPr>
            <w:r w:rsidRPr="00025B12">
              <w:rPr>
                <w:rFonts w:ascii="Verdana" w:hAnsi="Verdana" w:cs="Arial"/>
                <w:sz w:val="20"/>
                <w:szCs w:val="20"/>
              </w:rPr>
              <w:t xml:space="preserve">Dotazník je obsahově nejvíce zaměřen na formy celoživotního vzdělávání (formální, </w:t>
            </w:r>
            <w:r w:rsidR="00E26E2D" w:rsidRPr="00025B12">
              <w:rPr>
                <w:rFonts w:ascii="Verdana" w:hAnsi="Verdana" w:cs="Arial"/>
                <w:sz w:val="20"/>
                <w:szCs w:val="20"/>
              </w:rPr>
              <w:t>neformální</w:t>
            </w:r>
            <w:r w:rsidRPr="00025B12">
              <w:rPr>
                <w:rFonts w:ascii="Verdana" w:hAnsi="Verdana" w:cs="Arial"/>
                <w:sz w:val="20"/>
                <w:szCs w:val="20"/>
              </w:rPr>
              <w:t xml:space="preserve">, informální, překážky v účasti apod.), dále však také zahrnuje další oblasti </w:t>
            </w:r>
            <w:r w:rsidRPr="00025B12">
              <w:rPr>
                <w:rFonts w:ascii="Verdana" w:hAnsi="Verdana" w:cs="Arial"/>
                <w:sz w:val="20"/>
                <w:szCs w:val="20"/>
              </w:rPr>
              <w:lastRenderedPageBreak/>
              <w:t>jako například používání ICT, úroveň jazykových znalostí a kulturní participaci.</w:t>
            </w:r>
          </w:p>
          <w:p w:rsidR="000920DB" w:rsidRPr="00025B12" w:rsidRDefault="000920DB" w:rsidP="000920DB">
            <w:pPr>
              <w:spacing w:after="140" w:line="240" w:lineRule="auto"/>
              <w:rPr>
                <w:rFonts w:ascii="Verdana" w:hAnsi="Verdana"/>
                <w:sz w:val="20"/>
                <w:szCs w:val="20"/>
              </w:rPr>
            </w:pPr>
            <w:r w:rsidRPr="00025B12">
              <w:rPr>
                <w:rFonts w:ascii="Verdana" w:hAnsi="Verdana"/>
                <w:sz w:val="20"/>
                <w:szCs w:val="20"/>
              </w:rPr>
              <w:t xml:space="preserve">Informace vztahující se k dalšímu vzdělávání je možné kombinovat s identifikační údaji respondenta (informace o domácnosti, informace o jednotlivci - </w:t>
            </w:r>
            <w:r w:rsidRPr="00025B12">
              <w:rPr>
                <w:rFonts w:ascii="Verdana" w:eastAsia="Times New Roman" w:hAnsi="Verdana"/>
                <w:sz w:val="20"/>
                <w:szCs w:val="20"/>
                <w:lang w:eastAsia="cs-CZ"/>
              </w:rPr>
              <w:t>vzdělání, rodinná situace, postavení na trhu práce, příjem, kulturní kapitál apod.</w:t>
            </w:r>
            <w:r w:rsidRPr="00025B12">
              <w:rPr>
                <w:rFonts w:ascii="Verdana" w:hAnsi="Verdana"/>
                <w:sz w:val="20"/>
                <w:szCs w:val="20"/>
              </w:rPr>
              <w:t xml:space="preserve">). </w:t>
            </w:r>
          </w:p>
          <w:p w:rsidR="000920DB" w:rsidRPr="00025B12" w:rsidRDefault="000920DB" w:rsidP="000920DB">
            <w:pPr>
              <w:spacing w:after="140" w:line="240" w:lineRule="auto"/>
              <w:rPr>
                <w:rFonts w:ascii="Verdana" w:hAnsi="Verdana"/>
                <w:sz w:val="20"/>
                <w:szCs w:val="20"/>
              </w:rPr>
            </w:pPr>
            <w:r w:rsidRPr="00025B12">
              <w:rPr>
                <w:rFonts w:ascii="Verdana" w:hAnsi="Verdana"/>
                <w:sz w:val="20"/>
                <w:szCs w:val="20"/>
              </w:rPr>
              <w:t>Informace jsou vztahovány k období posledních 12 měsíců, což lépe odráží situaci v dalším vzdělávání, než měření účasti v posledních čtyřech týdnech prováděné ve VŠPS.</w:t>
            </w:r>
          </w:p>
          <w:p w:rsidR="000920DB" w:rsidRPr="00025B12" w:rsidRDefault="000920DB" w:rsidP="000920DB">
            <w:pPr>
              <w:spacing w:after="140" w:line="240" w:lineRule="auto"/>
              <w:rPr>
                <w:rFonts w:ascii="Verdana" w:eastAsia="Times New Roman" w:hAnsi="Verdana"/>
                <w:sz w:val="20"/>
                <w:szCs w:val="20"/>
                <w:lang w:eastAsia="cs-CZ"/>
              </w:rPr>
            </w:pPr>
          </w:p>
        </w:tc>
      </w:tr>
      <w:tr w:rsidR="000920DB" w:rsidRPr="00025B12" w:rsidTr="000920DB">
        <w:trPr>
          <w:jc w:val="center"/>
        </w:trPr>
        <w:tc>
          <w:tcPr>
            <w:tcW w:w="1384" w:type="dxa"/>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lastRenderedPageBreak/>
              <w:t>Dotazník:</w:t>
            </w:r>
          </w:p>
        </w:tc>
        <w:tc>
          <w:tcPr>
            <w:tcW w:w="7904" w:type="dxa"/>
            <w:gridSpan w:val="2"/>
          </w:tcPr>
          <w:p w:rsidR="000920DB" w:rsidRPr="00025B12" w:rsidRDefault="000920DB" w:rsidP="000920DB">
            <w:pPr>
              <w:spacing w:after="6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AJ - </w:t>
            </w:r>
            <w:hyperlink r:id="rId26" w:history="1">
              <w:r w:rsidRPr="00025B12">
                <w:rPr>
                  <w:rFonts w:ascii="Verdana" w:eastAsia="Times New Roman" w:hAnsi="Verdana"/>
                  <w:color w:val="0000FF"/>
                  <w:sz w:val="20"/>
                  <w:szCs w:val="18"/>
                  <w:u w:val="single"/>
                  <w:lang w:eastAsia="cs-CZ"/>
                </w:rPr>
                <w:t>http://circa.europa.eu/Public/irc/dsis/edtcs/library?l=/public/measuring_lifelong/education_survey/document_130906circadoc/_EN_3.5_&amp;a=d</w:t>
              </w:r>
            </w:hyperlink>
            <w:r w:rsidRPr="00025B12">
              <w:rPr>
                <w:rFonts w:ascii="Verdana" w:eastAsia="Times New Roman" w:hAnsi="Verdana"/>
                <w:sz w:val="20"/>
                <w:szCs w:val="20"/>
                <w:lang w:eastAsia="cs-CZ"/>
              </w:rPr>
              <w:t xml:space="preserve"> </w:t>
            </w:r>
          </w:p>
        </w:tc>
      </w:tr>
      <w:tr w:rsidR="000920DB" w:rsidRPr="00025B12" w:rsidTr="000920DB">
        <w:trPr>
          <w:jc w:val="center"/>
        </w:trPr>
        <w:tc>
          <w:tcPr>
            <w:tcW w:w="1384" w:type="dxa"/>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Zdroj:</w:t>
            </w:r>
          </w:p>
        </w:tc>
        <w:tc>
          <w:tcPr>
            <w:tcW w:w="7904" w:type="dxa"/>
            <w:gridSpan w:val="2"/>
          </w:tcPr>
          <w:p w:rsidR="000920DB" w:rsidRPr="00025B12" w:rsidRDefault="000920DB" w:rsidP="000920DB">
            <w:pPr>
              <w:spacing w:after="6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ČSÚ: </w:t>
            </w:r>
            <w:hyperlink r:id="rId27" w:history="1">
              <w:r w:rsidRPr="00025B12">
                <w:rPr>
                  <w:rFonts w:ascii="Verdana" w:eastAsia="Times New Roman" w:hAnsi="Verdana"/>
                  <w:color w:val="0000FF"/>
                  <w:sz w:val="20"/>
                  <w:szCs w:val="18"/>
                  <w:u w:val="single"/>
                  <w:lang w:eastAsia="cs-CZ"/>
                </w:rPr>
                <w:t>http://www.czso.cz/csu/2009edicniplan.nsf/p/3313-09</w:t>
              </w:r>
            </w:hyperlink>
            <w:r w:rsidRPr="00025B12">
              <w:rPr>
                <w:rFonts w:ascii="Verdana" w:eastAsia="Times New Roman" w:hAnsi="Verdana"/>
                <w:sz w:val="20"/>
                <w:szCs w:val="20"/>
                <w:lang w:eastAsia="cs-CZ"/>
              </w:rPr>
              <w:t xml:space="preserve"> </w:t>
            </w:r>
          </w:p>
          <w:p w:rsidR="000920DB" w:rsidRPr="00025B12" w:rsidRDefault="00665F1D" w:rsidP="000920DB">
            <w:pPr>
              <w:spacing w:after="140" w:line="240" w:lineRule="auto"/>
              <w:rPr>
                <w:rFonts w:ascii="Verdana" w:hAnsi="Verdana"/>
                <w:sz w:val="20"/>
                <w:szCs w:val="20"/>
              </w:rPr>
            </w:pPr>
            <w:hyperlink r:id="rId28" w:history="1">
              <w:r w:rsidR="000920DB" w:rsidRPr="00025B12">
                <w:rPr>
                  <w:rFonts w:ascii="Verdana" w:hAnsi="Verdana"/>
                  <w:color w:val="0000FF"/>
                  <w:sz w:val="20"/>
                  <w:szCs w:val="18"/>
                  <w:u w:val="single"/>
                </w:rPr>
                <w:t>http://www.czso.cz/csu/2009edicniplan.nsf/t/EE0048ED4D/$File/331309k01.pdf</w:t>
              </w:r>
            </w:hyperlink>
          </w:p>
          <w:p w:rsidR="000920DB" w:rsidRPr="00025B12" w:rsidRDefault="000920DB" w:rsidP="000920DB">
            <w:pPr>
              <w:spacing w:after="6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EUROSTAT: </w:t>
            </w:r>
            <w:hyperlink r:id="rId29" w:history="1">
              <w:r w:rsidRPr="00025B12">
                <w:rPr>
                  <w:rFonts w:ascii="Verdana" w:eastAsia="Times New Roman" w:hAnsi="Verdana"/>
                  <w:color w:val="0000FF"/>
                  <w:sz w:val="20"/>
                  <w:szCs w:val="18"/>
                  <w:u w:val="single"/>
                  <w:lang w:eastAsia="cs-CZ"/>
                </w:rPr>
                <w:t>http://circa.europa.eu/Public/irc/dsis/edtcs/library?l=/public/measuring_lifelong/education_survey&amp;vm=detailed&amp;sb=Title</w:t>
              </w:r>
            </w:hyperlink>
            <w:r w:rsidRPr="00025B12">
              <w:rPr>
                <w:rFonts w:ascii="Verdana" w:eastAsia="Times New Roman" w:hAnsi="Verdana"/>
                <w:sz w:val="20"/>
                <w:szCs w:val="20"/>
                <w:lang w:eastAsia="cs-CZ"/>
              </w:rPr>
              <w:t xml:space="preserve"> </w:t>
            </w:r>
          </w:p>
        </w:tc>
      </w:tr>
    </w:tbl>
    <w:p w:rsidR="000920DB" w:rsidRPr="00025B12" w:rsidRDefault="000920DB" w:rsidP="000920DB">
      <w:pPr>
        <w:spacing w:after="60" w:line="264" w:lineRule="auto"/>
        <w:jc w:val="both"/>
        <w:rPr>
          <w:rFonts w:ascii="Verdana" w:eastAsia="Times New Roman" w:hAnsi="Verdana"/>
          <w:b/>
          <w:sz w:val="20"/>
          <w:szCs w:val="20"/>
          <w:lang w:eastAsia="cs-CZ"/>
        </w:rPr>
      </w:pPr>
    </w:p>
    <w:p w:rsidR="000920DB" w:rsidRPr="00025B12" w:rsidRDefault="000920DB" w:rsidP="00641D19">
      <w:pPr>
        <w:numPr>
          <w:ilvl w:val="0"/>
          <w:numId w:val="25"/>
        </w:numPr>
        <w:spacing w:after="60" w:line="264" w:lineRule="auto"/>
        <w:ind w:left="714" w:hanging="357"/>
        <w:jc w:val="both"/>
        <w:rPr>
          <w:rFonts w:ascii="Verdana" w:eastAsia="Times New Roman" w:hAnsi="Verdana"/>
          <w:b/>
          <w:sz w:val="24"/>
          <w:szCs w:val="24"/>
          <w:lang w:eastAsia="cs-CZ"/>
        </w:rPr>
      </w:pPr>
      <w:bookmarkStart w:id="150" w:name="_Ref273627487"/>
      <w:bookmarkStart w:id="151" w:name="CVTS"/>
      <w:r w:rsidRPr="00025B12">
        <w:rPr>
          <w:rFonts w:ascii="Verdana" w:eastAsia="Times New Roman" w:hAnsi="Verdana"/>
          <w:b/>
          <w:sz w:val="24"/>
          <w:szCs w:val="24"/>
          <w:lang w:eastAsia="cs-CZ"/>
        </w:rPr>
        <w:t>Další odborné vzdělávání zaměstnaných osob (Continuing Vocational Training Survey - CVTS)</w:t>
      </w:r>
      <w:bookmarkEnd w:id="15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0920DB" w:rsidRPr="00025B12" w:rsidTr="000920DB">
        <w:trPr>
          <w:jc w:val="center"/>
        </w:trPr>
        <w:tc>
          <w:tcPr>
            <w:tcW w:w="2518" w:type="dxa"/>
            <w:shd w:val="clear" w:color="auto" w:fill="663399"/>
          </w:tcPr>
          <w:bookmarkEnd w:id="151"/>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0920DB" w:rsidRPr="00025B12" w:rsidRDefault="000920DB"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Český statistický úřad</w:t>
            </w:r>
          </w:p>
        </w:tc>
      </w:tr>
      <w:tr w:rsidR="000920DB" w:rsidRPr="00025B12" w:rsidTr="000920DB">
        <w:trPr>
          <w:jc w:val="center"/>
        </w:trPr>
        <w:tc>
          <w:tcPr>
            <w:tcW w:w="2518" w:type="dxa"/>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Cílová populace:</w:t>
            </w:r>
          </w:p>
        </w:tc>
        <w:tc>
          <w:tcPr>
            <w:tcW w:w="6770" w:type="dxa"/>
            <w:shd w:val="clear" w:color="auto" w:fill="663399"/>
          </w:tcPr>
          <w:p w:rsidR="000920DB" w:rsidRPr="00025B12" w:rsidRDefault="00500457"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Ekonomické subjekty</w:t>
            </w:r>
            <w:r w:rsidR="000920DB" w:rsidRPr="00025B12">
              <w:rPr>
                <w:rFonts w:ascii="Verdana" w:eastAsia="Times New Roman" w:hAnsi="Verdana"/>
                <w:color w:val="FFFFFF"/>
                <w:sz w:val="20"/>
                <w:szCs w:val="20"/>
                <w:lang w:eastAsia="cs-CZ"/>
              </w:rPr>
              <w:t xml:space="preserve"> s 10 a více zaměstnanci</w:t>
            </w:r>
            <w:r w:rsidR="00A938B3" w:rsidRPr="00025B12">
              <w:rPr>
                <w:rFonts w:ascii="Verdana" w:eastAsia="Times New Roman" w:hAnsi="Verdana"/>
                <w:color w:val="FFFFFF"/>
                <w:sz w:val="20"/>
                <w:szCs w:val="20"/>
                <w:lang w:eastAsia="cs-CZ"/>
              </w:rPr>
              <w:t xml:space="preserve"> (OKEČ C ař K a O a ISEKTORY 11,12,13,141,142 a 15)</w:t>
            </w:r>
          </w:p>
        </w:tc>
      </w:tr>
      <w:tr w:rsidR="000920DB" w:rsidRPr="00025B12" w:rsidTr="000920DB">
        <w:trPr>
          <w:jc w:val="center"/>
        </w:trPr>
        <w:tc>
          <w:tcPr>
            <w:tcW w:w="2518" w:type="dxa"/>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0920DB" w:rsidRPr="00025B12" w:rsidRDefault="000920DB"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5 let (poslední kolo referenční rok 2005)</w:t>
            </w:r>
          </w:p>
        </w:tc>
      </w:tr>
      <w:tr w:rsidR="000920DB" w:rsidRPr="00025B12" w:rsidTr="000920DB">
        <w:trPr>
          <w:jc w:val="center"/>
        </w:trPr>
        <w:tc>
          <w:tcPr>
            <w:tcW w:w="2518" w:type="dxa"/>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Rozsah vzorku:</w:t>
            </w:r>
          </w:p>
        </w:tc>
        <w:tc>
          <w:tcPr>
            <w:tcW w:w="6770" w:type="dxa"/>
            <w:shd w:val="clear" w:color="auto" w:fill="663399"/>
          </w:tcPr>
          <w:p w:rsidR="000920DB" w:rsidRPr="00025B12" w:rsidRDefault="000920DB" w:rsidP="0050045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 xml:space="preserve">10 000 </w:t>
            </w:r>
            <w:r w:rsidR="00500457" w:rsidRPr="00025B12">
              <w:rPr>
                <w:rFonts w:ascii="Verdana" w:eastAsia="Times New Roman" w:hAnsi="Verdana"/>
                <w:color w:val="FFFFFF"/>
                <w:sz w:val="20"/>
                <w:szCs w:val="20"/>
                <w:lang w:eastAsia="cs-CZ"/>
              </w:rPr>
              <w:t>ekonomických subjektů</w:t>
            </w:r>
          </w:p>
        </w:tc>
      </w:tr>
      <w:tr w:rsidR="000920DB" w:rsidRPr="00025B12" w:rsidTr="000920DB">
        <w:trPr>
          <w:jc w:val="center"/>
        </w:trPr>
        <w:tc>
          <w:tcPr>
            <w:tcW w:w="2518" w:type="dxa"/>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0920DB" w:rsidRPr="00025B12" w:rsidRDefault="000920DB" w:rsidP="000920DB">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Mezinárodní (EU)</w:t>
            </w:r>
            <w:r w:rsidR="00586AB0" w:rsidRPr="00025B12">
              <w:rPr>
                <w:rFonts w:ascii="Verdana" w:eastAsia="Times New Roman" w:hAnsi="Verdana"/>
                <w:color w:val="FFFFFF"/>
                <w:sz w:val="20"/>
                <w:szCs w:val="20"/>
                <w:lang w:eastAsia="cs-CZ"/>
              </w:rPr>
              <w:t xml:space="preserve"> - metodika harmonizována pod vedením Eurostatu</w:t>
            </w:r>
          </w:p>
        </w:tc>
      </w:tr>
      <w:tr w:rsidR="000920DB" w:rsidRPr="00025B12" w:rsidTr="000920DB">
        <w:trPr>
          <w:jc w:val="center"/>
        </w:trPr>
        <w:tc>
          <w:tcPr>
            <w:tcW w:w="9288" w:type="dxa"/>
            <w:gridSpan w:val="2"/>
          </w:tcPr>
          <w:p w:rsidR="000920DB" w:rsidRPr="00025B12" w:rsidRDefault="000920DB" w:rsidP="000920DB">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Šetření CVTS poměrně podrobně mapuje praxi podniků v oblasti vzdělávání zaměstnanců. Na mezinárodní úrovni probíhá šetření již od roku 1994, Česká republika se zapojila poprvé do druhého kola CVTS v roce 1999.</w:t>
            </w:r>
            <w:r w:rsidRPr="00025B12">
              <w:rPr>
                <w:rFonts w:ascii="Verdana" w:eastAsia="Times New Roman" w:hAnsi="Verdana"/>
                <w:b/>
                <w:sz w:val="20"/>
                <w:szCs w:val="20"/>
                <w:lang w:eastAsia="cs-CZ"/>
              </w:rPr>
              <w:t xml:space="preserve"> </w:t>
            </w:r>
            <w:r w:rsidRPr="00025B12">
              <w:rPr>
                <w:rFonts w:ascii="Verdana" w:eastAsia="Times New Roman" w:hAnsi="Verdana"/>
                <w:sz w:val="20"/>
                <w:szCs w:val="20"/>
                <w:lang w:eastAsia="cs-CZ"/>
              </w:rPr>
              <w:t xml:space="preserve">V roce 2005 proběhlo již třetí kolo šetření. Další kolo šetření je plánováno na rok 2011, za referenční rok 2010. </w:t>
            </w:r>
          </w:p>
          <w:p w:rsidR="00A938B3" w:rsidRPr="00025B12" w:rsidRDefault="00A938B3" w:rsidP="00A938B3">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Do vzorku jsou zahrnuty podniky s 10 a více zaměstnanci působící ve všech odvětvích národního hospodářství (sekce C až K a O klasifikace OKEČ) s výjimkou zemědělství, myslivosti, lesnictví, rybolovu a chovu ryb, veřejné správy a obrany, vzdělávání, zdravotní a sociální péče, činnosti domácností a exteritoriálních organizací a institucí (sekce A, B, L až N a P,Q) Do výběrového (i základního) souboru byly od šetření CVTS3 v roce 2005 zahrnuty nejen ekonomické subjekty patřící do ISEKTORů 11 a 12, ale nově i do ISEKTORů 13 (vládní instituce), 141 (domácnosti – fyzické osoby jako </w:t>
            </w:r>
            <w:r w:rsidR="00E26E2D" w:rsidRPr="00025B12">
              <w:rPr>
                <w:rFonts w:ascii="Verdana" w:eastAsia="Times New Roman" w:hAnsi="Verdana"/>
                <w:sz w:val="20"/>
                <w:szCs w:val="20"/>
                <w:lang w:eastAsia="cs-CZ"/>
              </w:rPr>
              <w:t>zaměstnavatelé</w:t>
            </w:r>
            <w:r w:rsidRPr="00025B12">
              <w:rPr>
                <w:rFonts w:ascii="Verdana" w:eastAsia="Times New Roman" w:hAnsi="Verdana"/>
                <w:sz w:val="20"/>
                <w:szCs w:val="20"/>
                <w:lang w:eastAsia="cs-CZ"/>
              </w:rPr>
              <w:t>), 142 (domácnosti – fyzické osoby jako ostatní OSVČ) a 15 (neziskové instituce sloužící domácnostem), pokud zaměstnávaly nejméně 10 osob a patřily do sekcí C až K a O OKEČ.</w:t>
            </w:r>
          </w:p>
          <w:p w:rsidR="00A938B3" w:rsidRPr="00025B12" w:rsidRDefault="00A938B3" w:rsidP="00A938B3">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Jeho obsah je zaměřen na aktivity podniku v oblasti dalšího odborného vzdělávání, charakteristiky kurzů dalšího odborného vzdělávání, vzdělávací politiku podniku, Důvody neposkytování vzdělávání a počáteční vzdělávání v podniku.</w:t>
            </w:r>
          </w:p>
          <w:p w:rsidR="000920DB" w:rsidRPr="00025B12" w:rsidRDefault="000920DB" w:rsidP="00A938B3">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Nevýhodou, která vyplývá z toho, že se jedná o podnikové šetření, je poměrně malý rozsah strukturálních informací o účastnících dalšího podnikového vzdělávání. Jednotlivé informace o struktuře není možné vzájemně kombinovat. Kromě toho se ukazují jisté </w:t>
            </w:r>
            <w:r w:rsidRPr="00025B12">
              <w:rPr>
                <w:rFonts w:ascii="Verdana" w:eastAsia="Times New Roman" w:hAnsi="Verdana"/>
                <w:sz w:val="20"/>
                <w:szCs w:val="20"/>
                <w:lang w:eastAsia="cs-CZ"/>
              </w:rPr>
              <w:lastRenderedPageBreak/>
              <w:t xml:space="preserve">rozpory mezi výsledky tohoto podnikového šetření a výsledky individuálních šetření, které zřejmě odrážejí odlišné chápání toho, co považují za vzdělávání podniky a co jednotlivci. Šetření je také realizováno s poměrně dlouhou pětiletou periodicitou. Může tak odrážet dlouhodobé trendy ve vývoji podnikového vzdělávání, nemá ale potenciál flexibilně zhodnotit výsledky opatření pro podporu dalšího podnikového vzdělávání. </w:t>
            </w:r>
          </w:p>
          <w:p w:rsidR="00A938B3" w:rsidRPr="00025B12" w:rsidRDefault="00A938B3" w:rsidP="00A938B3">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Problematické je regionální třídění výsledků CVTS, neboť podniky jsou zařazovány do krajů podle sídla jejich ústředí, přičemž jednotlivá pracoviště mohou být v různých krajích a velká část podniků má sídlo v Praze a dalších velkých městech, přestože tam reálně nepůsobí.</w:t>
            </w:r>
          </w:p>
          <w:p w:rsidR="00500457" w:rsidRPr="00025B12" w:rsidRDefault="00500457" w:rsidP="00500457">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Pozn.: Pro jednodušší stylistickou formulaci jsou u popisu indikátorů používány termíny podniky a zaměstnanci namísto správnějších termínů ekonomické subjekty a zaměstnané osoby. Šetření CVTS zahrnuje i ekonomické subjekty nepodnikatelské sféry a zaměstnané osoby v jiném postavení než zaměstnanci (členové výrobních družstev, pomáhající rodinní příslušníci). Terminologická správnost by však byla v těchto případech na úkor srozumitelnosti textu a i v mezinárodní terminologii jsou v tomto kontextu běžně používán termíny enterprises a employees.</w:t>
            </w:r>
          </w:p>
        </w:tc>
      </w:tr>
      <w:tr w:rsidR="000920DB" w:rsidRPr="00025B12" w:rsidTr="000920DB">
        <w:trPr>
          <w:jc w:val="center"/>
        </w:trPr>
        <w:tc>
          <w:tcPr>
            <w:tcW w:w="2518" w:type="dxa"/>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lastRenderedPageBreak/>
              <w:t>Dotazník:</w:t>
            </w:r>
          </w:p>
        </w:tc>
        <w:tc>
          <w:tcPr>
            <w:tcW w:w="6770" w:type="dxa"/>
          </w:tcPr>
          <w:p w:rsidR="000920DB" w:rsidRPr="00025B12" w:rsidRDefault="000920DB" w:rsidP="000920DB">
            <w:pPr>
              <w:spacing w:after="6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AJ </w:t>
            </w:r>
            <w:hyperlink r:id="rId30" w:history="1">
              <w:r w:rsidRPr="00025B12">
                <w:rPr>
                  <w:rFonts w:ascii="Verdana" w:eastAsia="Times New Roman" w:hAnsi="Verdana"/>
                  <w:color w:val="0000FF"/>
                  <w:sz w:val="20"/>
                  <w:szCs w:val="20"/>
                  <w:u w:val="single"/>
                  <w:lang w:eastAsia="cs-CZ"/>
                </w:rPr>
                <w:t>http://circa.europa.eu/Public/irc/dsis/edtcs/library?l=/public/continuing_vocational/master_finalpdf/_EN_1.0_&amp;a=d</w:t>
              </w:r>
            </w:hyperlink>
            <w:r w:rsidRPr="00025B12">
              <w:rPr>
                <w:rFonts w:ascii="Verdana" w:eastAsia="Times New Roman" w:hAnsi="Verdana"/>
                <w:sz w:val="20"/>
                <w:szCs w:val="20"/>
                <w:lang w:eastAsia="cs-CZ"/>
              </w:rPr>
              <w:t xml:space="preserve"> </w:t>
            </w:r>
          </w:p>
        </w:tc>
      </w:tr>
      <w:tr w:rsidR="000920DB" w:rsidRPr="00025B12" w:rsidTr="000920DB">
        <w:trPr>
          <w:jc w:val="center"/>
        </w:trPr>
        <w:tc>
          <w:tcPr>
            <w:tcW w:w="2518" w:type="dxa"/>
            <w:shd w:val="clear" w:color="auto" w:fill="663399"/>
          </w:tcPr>
          <w:p w:rsidR="000920DB" w:rsidRPr="00025B12" w:rsidRDefault="000920DB" w:rsidP="000920DB">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Zdroj:</w:t>
            </w:r>
          </w:p>
        </w:tc>
        <w:tc>
          <w:tcPr>
            <w:tcW w:w="6770" w:type="dxa"/>
          </w:tcPr>
          <w:p w:rsidR="000920DB" w:rsidRPr="00025B12" w:rsidRDefault="000920DB" w:rsidP="000920DB">
            <w:pPr>
              <w:spacing w:after="6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ČSÚ -  </w:t>
            </w:r>
            <w:hyperlink r:id="rId31" w:history="1">
              <w:r w:rsidRPr="00025B12">
                <w:rPr>
                  <w:rFonts w:ascii="Verdana" w:eastAsia="Times New Roman" w:hAnsi="Verdana"/>
                  <w:color w:val="0000FF"/>
                  <w:sz w:val="20"/>
                  <w:szCs w:val="20"/>
                  <w:u w:val="single"/>
                  <w:lang w:eastAsia="cs-CZ"/>
                </w:rPr>
                <w:t>http://www.czso.cz/csu/2008edicniplan.nsf/p/3311-08</w:t>
              </w:r>
            </w:hyperlink>
          </w:p>
          <w:p w:rsidR="000920DB" w:rsidRPr="00025B12" w:rsidRDefault="000920DB" w:rsidP="000920DB">
            <w:pPr>
              <w:spacing w:after="6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EUROSTAT - </w:t>
            </w:r>
            <w:hyperlink r:id="rId32" w:history="1">
              <w:r w:rsidRPr="00025B12">
                <w:rPr>
                  <w:rFonts w:ascii="Verdana" w:hAnsi="Verdana"/>
                  <w:color w:val="0000FF"/>
                  <w:sz w:val="20"/>
                  <w:szCs w:val="20"/>
                  <w:u w:val="single"/>
                </w:rPr>
                <w:t>http://circa.europa.eu/Public/irc/dsis/edtcs/library?l=/public/continuing_vocational</w:t>
              </w:r>
            </w:hyperlink>
          </w:p>
        </w:tc>
      </w:tr>
    </w:tbl>
    <w:p w:rsidR="00525EBD" w:rsidRPr="00025B12" w:rsidRDefault="00525EBD" w:rsidP="008C6791">
      <w:pPr>
        <w:jc w:val="both"/>
        <w:rPr>
          <w:rFonts w:ascii="Verdana" w:hAnsi="Verdana"/>
          <w:b/>
          <w:sz w:val="20"/>
          <w:szCs w:val="20"/>
        </w:rPr>
      </w:pPr>
    </w:p>
    <w:p w:rsidR="00F33368" w:rsidRPr="00025B12" w:rsidRDefault="00F33368" w:rsidP="00641D19">
      <w:pPr>
        <w:numPr>
          <w:ilvl w:val="0"/>
          <w:numId w:val="25"/>
        </w:numPr>
        <w:spacing w:after="60" w:line="264" w:lineRule="auto"/>
        <w:jc w:val="both"/>
        <w:rPr>
          <w:rFonts w:ascii="Verdana" w:eastAsia="Times New Roman" w:hAnsi="Verdana"/>
          <w:b/>
          <w:sz w:val="24"/>
          <w:szCs w:val="24"/>
          <w:lang w:eastAsia="cs-CZ"/>
        </w:rPr>
      </w:pPr>
      <w:bookmarkStart w:id="152" w:name="PIAAC"/>
      <w:r w:rsidRPr="00025B12">
        <w:rPr>
          <w:rFonts w:ascii="Verdana" w:eastAsia="Times New Roman" w:hAnsi="Verdana"/>
          <w:b/>
          <w:sz w:val="24"/>
          <w:szCs w:val="24"/>
          <w:lang w:eastAsia="cs-CZ"/>
        </w:rPr>
        <w:t>Mezinárodní výzkum dospělých. Předpoklady úspěchu v práci a v životě. (PIAAC)</w:t>
      </w:r>
      <w:r w:rsidR="009D149F" w:rsidRPr="00025B12">
        <w:rPr>
          <w:rFonts w:ascii="Verdana" w:eastAsia="Times New Roman" w:hAnsi="Verdana"/>
          <w:b/>
          <w:sz w:val="24"/>
          <w:szCs w:val="24"/>
          <w:lang w:eastAsia="cs-CZ"/>
        </w:rPr>
        <w:t xml:space="preserve"> a SIALS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F33368" w:rsidRPr="00025B12" w:rsidTr="009D149F">
        <w:trPr>
          <w:jc w:val="center"/>
        </w:trPr>
        <w:tc>
          <w:tcPr>
            <w:tcW w:w="2518" w:type="dxa"/>
            <w:shd w:val="clear" w:color="auto" w:fill="663399"/>
          </w:tcPr>
          <w:bookmarkEnd w:id="152"/>
          <w:p w:rsidR="00F33368" w:rsidRPr="00025B12" w:rsidRDefault="00F33368" w:rsidP="009D149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F33368" w:rsidRPr="00025B12" w:rsidRDefault="00F33368" w:rsidP="009D149F">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ÚIV, NVF, SC&amp;C</w:t>
            </w:r>
          </w:p>
        </w:tc>
      </w:tr>
      <w:tr w:rsidR="00F33368" w:rsidRPr="00025B12" w:rsidTr="009D149F">
        <w:trPr>
          <w:jc w:val="center"/>
        </w:trPr>
        <w:tc>
          <w:tcPr>
            <w:tcW w:w="2518" w:type="dxa"/>
            <w:shd w:val="clear" w:color="auto" w:fill="663399"/>
          </w:tcPr>
          <w:p w:rsidR="00F33368" w:rsidRPr="00025B12" w:rsidRDefault="00F33368" w:rsidP="009D149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Cílová populace:</w:t>
            </w:r>
          </w:p>
        </w:tc>
        <w:tc>
          <w:tcPr>
            <w:tcW w:w="6770" w:type="dxa"/>
            <w:shd w:val="clear" w:color="auto" w:fill="663399"/>
          </w:tcPr>
          <w:p w:rsidR="00F33368" w:rsidRPr="00025B12" w:rsidRDefault="00F33368" w:rsidP="009D149F">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Populace ve věku 16-65 let</w:t>
            </w:r>
          </w:p>
        </w:tc>
      </w:tr>
      <w:tr w:rsidR="00F33368" w:rsidRPr="00025B12" w:rsidTr="009D149F">
        <w:trPr>
          <w:jc w:val="center"/>
        </w:trPr>
        <w:tc>
          <w:tcPr>
            <w:tcW w:w="2518" w:type="dxa"/>
            <w:shd w:val="clear" w:color="auto" w:fill="663399"/>
          </w:tcPr>
          <w:p w:rsidR="00F33368" w:rsidRPr="00025B12" w:rsidRDefault="00F33368" w:rsidP="009D149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F33368" w:rsidRPr="00025B12" w:rsidRDefault="009D149F" w:rsidP="009D149F">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 xml:space="preserve">V současné době je realizován </w:t>
            </w:r>
            <w:r w:rsidR="00F33368" w:rsidRPr="00025B12">
              <w:rPr>
                <w:rFonts w:ascii="Verdana" w:eastAsia="Times New Roman" w:hAnsi="Verdana"/>
                <w:color w:val="FFFFFF"/>
                <w:sz w:val="20"/>
                <w:szCs w:val="20"/>
                <w:lang w:eastAsia="cs-CZ"/>
              </w:rPr>
              <w:t xml:space="preserve">sběr dat </w:t>
            </w:r>
            <w:r w:rsidRPr="00025B12">
              <w:rPr>
                <w:rFonts w:ascii="Verdana" w:eastAsia="Times New Roman" w:hAnsi="Verdana"/>
                <w:color w:val="FFFFFF"/>
                <w:sz w:val="20"/>
                <w:szCs w:val="20"/>
                <w:lang w:eastAsia="cs-CZ"/>
              </w:rPr>
              <w:t>2011-12</w:t>
            </w:r>
          </w:p>
        </w:tc>
      </w:tr>
      <w:tr w:rsidR="00F33368" w:rsidRPr="00025B12" w:rsidTr="009D149F">
        <w:trPr>
          <w:jc w:val="center"/>
        </w:trPr>
        <w:tc>
          <w:tcPr>
            <w:tcW w:w="2518" w:type="dxa"/>
            <w:shd w:val="clear" w:color="auto" w:fill="663399"/>
          </w:tcPr>
          <w:p w:rsidR="00F33368" w:rsidRPr="00025B12" w:rsidRDefault="00F33368" w:rsidP="009D149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Rozsah vzorku:</w:t>
            </w:r>
          </w:p>
        </w:tc>
        <w:tc>
          <w:tcPr>
            <w:tcW w:w="6770" w:type="dxa"/>
            <w:shd w:val="clear" w:color="auto" w:fill="663399"/>
          </w:tcPr>
          <w:p w:rsidR="00F33368" w:rsidRPr="00025B12" w:rsidRDefault="00F33368" w:rsidP="009D149F">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5 000 respondentů</w:t>
            </w:r>
          </w:p>
        </w:tc>
      </w:tr>
      <w:tr w:rsidR="00F33368" w:rsidRPr="00025B12" w:rsidTr="009D149F">
        <w:trPr>
          <w:jc w:val="center"/>
        </w:trPr>
        <w:tc>
          <w:tcPr>
            <w:tcW w:w="2518" w:type="dxa"/>
            <w:shd w:val="clear" w:color="auto" w:fill="663399"/>
          </w:tcPr>
          <w:p w:rsidR="00F33368" w:rsidRPr="00025B12" w:rsidRDefault="00F33368" w:rsidP="009D149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F33368" w:rsidRPr="00025B12" w:rsidRDefault="00F33368" w:rsidP="009D149F">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Mezinárodní (většina zemí OECD)</w:t>
            </w:r>
          </w:p>
        </w:tc>
      </w:tr>
      <w:tr w:rsidR="00F33368" w:rsidRPr="00025B12" w:rsidTr="009D149F">
        <w:trPr>
          <w:jc w:val="center"/>
        </w:trPr>
        <w:tc>
          <w:tcPr>
            <w:tcW w:w="9288" w:type="dxa"/>
            <w:gridSpan w:val="2"/>
          </w:tcPr>
          <w:p w:rsidR="00F33368" w:rsidRPr="00025B12" w:rsidRDefault="00F33368" w:rsidP="009D149F">
            <w:pPr>
              <w:spacing w:after="60" w:line="264" w:lineRule="auto"/>
              <w:jc w:val="both"/>
              <w:rPr>
                <w:rFonts w:ascii="Verdana" w:eastAsia="Times New Roman" w:hAnsi="Verdana"/>
                <w:b/>
                <w:sz w:val="20"/>
                <w:szCs w:val="20"/>
                <w:lang w:eastAsia="cs-CZ"/>
              </w:rPr>
            </w:pPr>
            <w:r w:rsidRPr="00025B12">
              <w:rPr>
                <w:rFonts w:ascii="Verdana" w:eastAsia="Times New Roman" w:hAnsi="Verdana"/>
                <w:b/>
                <w:sz w:val="20"/>
                <w:szCs w:val="20"/>
                <w:lang w:eastAsia="cs-CZ"/>
              </w:rPr>
              <w:t>Význam pro monitoring dalšího vzdělávání:</w:t>
            </w:r>
          </w:p>
          <w:p w:rsidR="00F33368" w:rsidRPr="00025B12" w:rsidRDefault="00F33368" w:rsidP="009D149F">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Šetření PIAAC má potenciál pro vyhodnocení jedné z velmi málo pokrytých oblastí monitoringu dalšího vzdělávání – oblast výsledků vzdělávání.</w:t>
            </w:r>
          </w:p>
          <w:p w:rsidR="00F33368" w:rsidRPr="00025B12" w:rsidRDefault="00F33368" w:rsidP="005F4B3C">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Jádrem výzkumu je hodnocení kompetencí dospělé populace v</w:t>
            </w:r>
            <w:r w:rsidR="005F4B3C" w:rsidRPr="00025B12">
              <w:rPr>
                <w:rFonts w:ascii="Verdana" w:eastAsia="Times New Roman" w:hAnsi="Verdana"/>
                <w:sz w:val="20"/>
                <w:szCs w:val="20"/>
                <w:lang w:eastAsia="cs-CZ"/>
              </w:rPr>
              <w:t> oblasti numerické a čtenářské gramotnosti a dovednosti řešit problémy v prostředí informačních technologií.</w:t>
            </w:r>
          </w:p>
          <w:p w:rsidR="00F33368" w:rsidRPr="00025B12" w:rsidRDefault="00F33368" w:rsidP="005F4B3C">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Kromě samotného měření kompetencí je součástí šetření i rozsáhlý dotazník, který obsahuje charakteristiky respondenta, mimo jiné i o jeho účasti na dalším vzdělávání a charakteristiky tohoto vzdělávání. Na základě srovnání kompetencí populace účastnící se a neúčastnící se dalšího vzdělávání na stejné úrovni formálního vzdělání umožní výzkum sledovat přínosy dalšího vzdělávání. Dostatečnost vlastních kompetencí ke zvládání práce</w:t>
            </w:r>
          </w:p>
          <w:p w:rsidR="00F33368" w:rsidRPr="00025B12" w:rsidRDefault="00F33368" w:rsidP="009D149F">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Významným přínosem šetření je, že se soustřeďuje na velmi málo pokrytou oblast hodnocení výsledků dalšího vzdělávání. Výzkum navazuje na výzkum SIALS, který proběhl v roce 1998 a umožňuje tak časové srovnání. Šetření je prováděno mezinárodně srovnatelnou metodikou a nabízí potenciál pro hodnocení efektivity dalšího vzdělávání </w:t>
            </w:r>
            <w:r w:rsidRPr="00025B12">
              <w:rPr>
                <w:rFonts w:ascii="Verdana" w:eastAsia="Times New Roman" w:hAnsi="Verdana"/>
                <w:sz w:val="20"/>
                <w:szCs w:val="20"/>
                <w:lang w:eastAsia="cs-CZ"/>
              </w:rPr>
              <w:lastRenderedPageBreak/>
              <w:t>v mezinárodním srovnání. Jedná se o velmi náročné šetření, u kterého nelze předpokládat krátkou periodicitu opakování, šetření tedy umožní jisté srovnání v čase, nikoli však přímo tvorbu časových řad.</w:t>
            </w:r>
          </w:p>
        </w:tc>
      </w:tr>
      <w:tr w:rsidR="00F33368" w:rsidRPr="00025B12" w:rsidTr="009D149F">
        <w:trPr>
          <w:jc w:val="center"/>
        </w:trPr>
        <w:tc>
          <w:tcPr>
            <w:tcW w:w="2518" w:type="dxa"/>
            <w:shd w:val="clear" w:color="auto" w:fill="663399"/>
          </w:tcPr>
          <w:p w:rsidR="00F33368" w:rsidRPr="00025B12" w:rsidRDefault="00F33368" w:rsidP="009D149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lastRenderedPageBreak/>
              <w:t>Dotazník:</w:t>
            </w:r>
          </w:p>
        </w:tc>
        <w:tc>
          <w:tcPr>
            <w:tcW w:w="6770" w:type="dxa"/>
          </w:tcPr>
          <w:p w:rsidR="00F33368" w:rsidRPr="00025B12" w:rsidRDefault="00665F1D" w:rsidP="009D149F">
            <w:pPr>
              <w:spacing w:after="60" w:line="264" w:lineRule="auto"/>
              <w:jc w:val="both"/>
              <w:rPr>
                <w:rFonts w:ascii="Verdana" w:eastAsia="Times New Roman" w:hAnsi="Verdana"/>
                <w:sz w:val="20"/>
                <w:szCs w:val="20"/>
                <w:lang w:eastAsia="cs-CZ"/>
              </w:rPr>
            </w:pPr>
            <w:hyperlink r:id="rId33" w:history="1">
              <w:r w:rsidR="00901623" w:rsidRPr="00025B12">
                <w:rPr>
                  <w:rStyle w:val="Hypertextovodkaz"/>
                  <w:rFonts w:ascii="Verdana" w:hAnsi="Verdana"/>
                  <w:sz w:val="20"/>
                  <w:szCs w:val="20"/>
                </w:rPr>
                <w:t>http://www.oecd.org/dataoecd/1/41/48442549.pdf</w:t>
              </w:r>
            </w:hyperlink>
          </w:p>
        </w:tc>
      </w:tr>
      <w:tr w:rsidR="00F33368" w:rsidRPr="00025B12" w:rsidTr="009D149F">
        <w:trPr>
          <w:jc w:val="center"/>
        </w:trPr>
        <w:tc>
          <w:tcPr>
            <w:tcW w:w="2518" w:type="dxa"/>
            <w:shd w:val="clear" w:color="auto" w:fill="663399"/>
          </w:tcPr>
          <w:p w:rsidR="00F33368" w:rsidRPr="00025B12" w:rsidRDefault="00F33368" w:rsidP="009D149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Zdroj:</w:t>
            </w:r>
          </w:p>
        </w:tc>
        <w:tc>
          <w:tcPr>
            <w:tcW w:w="6770" w:type="dxa"/>
          </w:tcPr>
          <w:p w:rsidR="00F33368" w:rsidRPr="00025B12" w:rsidRDefault="00665F1D" w:rsidP="009D149F">
            <w:pPr>
              <w:spacing w:after="60" w:line="264" w:lineRule="auto"/>
              <w:jc w:val="both"/>
              <w:rPr>
                <w:rFonts w:ascii="Verdana" w:eastAsia="Times New Roman" w:hAnsi="Verdana"/>
                <w:sz w:val="20"/>
                <w:szCs w:val="20"/>
                <w:lang w:eastAsia="cs-CZ"/>
              </w:rPr>
            </w:pPr>
            <w:hyperlink r:id="rId34" w:history="1">
              <w:r w:rsidR="00F33368" w:rsidRPr="00025B12">
                <w:rPr>
                  <w:rFonts w:ascii="Verdana" w:eastAsia="Times New Roman" w:hAnsi="Verdana"/>
                  <w:color w:val="0000FF"/>
                  <w:sz w:val="20"/>
                  <w:szCs w:val="20"/>
                  <w:u w:val="single"/>
                  <w:lang w:eastAsia="cs-CZ"/>
                </w:rPr>
                <w:t>http://www.piaac.cz/</w:t>
              </w:r>
            </w:hyperlink>
          </w:p>
          <w:p w:rsidR="00F33368" w:rsidRPr="00025B12" w:rsidRDefault="00F33368" w:rsidP="009D149F">
            <w:pPr>
              <w:spacing w:after="6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OECD - </w:t>
            </w:r>
            <w:hyperlink r:id="rId35" w:history="1">
              <w:r w:rsidRPr="00025B12">
                <w:rPr>
                  <w:rFonts w:ascii="Verdana" w:eastAsia="Times New Roman" w:hAnsi="Verdana"/>
                  <w:color w:val="0000FF"/>
                  <w:sz w:val="20"/>
                  <w:szCs w:val="20"/>
                  <w:u w:val="single"/>
                  <w:lang w:eastAsia="cs-CZ"/>
                </w:rPr>
                <w:t>http://www.oecd.org/document/35/0,3343,en_2649_39263238_40277475_1_1_1_1,00.html</w:t>
              </w:r>
            </w:hyperlink>
            <w:r w:rsidRPr="00025B12">
              <w:rPr>
                <w:rFonts w:ascii="Verdana" w:eastAsia="Times New Roman" w:hAnsi="Verdana"/>
                <w:sz w:val="20"/>
                <w:szCs w:val="20"/>
                <w:lang w:eastAsia="cs-CZ"/>
              </w:rPr>
              <w:t xml:space="preserve"> </w:t>
            </w:r>
          </w:p>
        </w:tc>
      </w:tr>
    </w:tbl>
    <w:p w:rsidR="008B4379" w:rsidRPr="00025B12" w:rsidRDefault="008B4379" w:rsidP="008C6791">
      <w:pPr>
        <w:jc w:val="both"/>
        <w:rPr>
          <w:rFonts w:ascii="Verdana" w:hAnsi="Verdana"/>
          <w:b/>
          <w:sz w:val="20"/>
          <w:szCs w:val="20"/>
        </w:rPr>
      </w:pPr>
    </w:p>
    <w:p w:rsidR="008B4379" w:rsidRPr="00025B12" w:rsidRDefault="008B4379" w:rsidP="000C6631">
      <w:pPr>
        <w:spacing w:after="60" w:line="264" w:lineRule="auto"/>
        <w:jc w:val="both"/>
        <w:outlineLvl w:val="0"/>
        <w:rPr>
          <w:rFonts w:ascii="Verdana" w:eastAsia="Times New Roman" w:hAnsi="Verdana"/>
          <w:b/>
          <w:sz w:val="24"/>
          <w:szCs w:val="24"/>
          <w:lang w:eastAsia="cs-CZ"/>
        </w:rPr>
      </w:pPr>
      <w:bookmarkStart w:id="153" w:name="UOE"/>
      <w:r w:rsidRPr="00025B12">
        <w:rPr>
          <w:rFonts w:ascii="Verdana" w:eastAsia="Times New Roman" w:hAnsi="Verdana"/>
          <w:b/>
          <w:sz w:val="24"/>
          <w:szCs w:val="24"/>
          <w:lang w:eastAsia="cs-CZ"/>
        </w:rPr>
        <w:t>Databáze UNESCO/OECD/Eurostat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DA70F7" w:rsidRPr="00025B12" w:rsidTr="00622E67">
        <w:trPr>
          <w:jc w:val="center"/>
        </w:trPr>
        <w:tc>
          <w:tcPr>
            <w:tcW w:w="2518" w:type="dxa"/>
            <w:shd w:val="clear" w:color="auto" w:fill="663399"/>
          </w:tcPr>
          <w:p w:rsidR="00DA70F7" w:rsidRPr="00025B12" w:rsidRDefault="00DA70F7"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DA70F7" w:rsidRPr="00025B12" w:rsidRDefault="00DA70F7"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Unesco/OECD/Eurostat</w:t>
            </w:r>
          </w:p>
        </w:tc>
      </w:tr>
      <w:tr w:rsidR="00DA70F7" w:rsidRPr="00025B12" w:rsidTr="00622E67">
        <w:trPr>
          <w:jc w:val="center"/>
        </w:trPr>
        <w:tc>
          <w:tcPr>
            <w:tcW w:w="2518" w:type="dxa"/>
            <w:shd w:val="clear" w:color="auto" w:fill="663399"/>
          </w:tcPr>
          <w:p w:rsidR="00DA70F7" w:rsidRPr="00025B12" w:rsidRDefault="00DA70F7"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DA70F7" w:rsidRPr="00025B12" w:rsidRDefault="00DA70F7"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roční</w:t>
            </w:r>
          </w:p>
        </w:tc>
      </w:tr>
      <w:tr w:rsidR="00DA70F7" w:rsidRPr="00025B12" w:rsidTr="00622E67">
        <w:trPr>
          <w:jc w:val="center"/>
        </w:trPr>
        <w:tc>
          <w:tcPr>
            <w:tcW w:w="2518" w:type="dxa"/>
            <w:shd w:val="clear" w:color="auto" w:fill="663399"/>
          </w:tcPr>
          <w:p w:rsidR="00DA70F7" w:rsidRPr="00025B12" w:rsidRDefault="00DA70F7"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Rozsah vzorku:</w:t>
            </w:r>
          </w:p>
        </w:tc>
        <w:tc>
          <w:tcPr>
            <w:tcW w:w="6770" w:type="dxa"/>
            <w:shd w:val="clear" w:color="auto" w:fill="663399"/>
          </w:tcPr>
          <w:p w:rsidR="00DA70F7" w:rsidRPr="00025B12" w:rsidRDefault="00DA70F7"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Administrativní data – vyčerpávající informace</w:t>
            </w:r>
          </w:p>
        </w:tc>
      </w:tr>
      <w:tr w:rsidR="00DA70F7" w:rsidRPr="00025B12" w:rsidTr="00622E67">
        <w:trPr>
          <w:jc w:val="center"/>
        </w:trPr>
        <w:tc>
          <w:tcPr>
            <w:tcW w:w="2518" w:type="dxa"/>
            <w:shd w:val="clear" w:color="auto" w:fill="663399"/>
          </w:tcPr>
          <w:p w:rsidR="00DA70F7" w:rsidRPr="00025B12" w:rsidRDefault="00DA70F7"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DA70F7" w:rsidRPr="00025B12" w:rsidRDefault="00DA70F7"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Mezinárodní (většina zemí OECD)</w:t>
            </w:r>
          </w:p>
        </w:tc>
      </w:tr>
      <w:tr w:rsidR="00DA70F7" w:rsidRPr="00025B12" w:rsidTr="00622E67">
        <w:trPr>
          <w:jc w:val="center"/>
        </w:trPr>
        <w:tc>
          <w:tcPr>
            <w:tcW w:w="9288" w:type="dxa"/>
            <w:gridSpan w:val="2"/>
          </w:tcPr>
          <w:p w:rsidR="00DA70F7" w:rsidRPr="00025B12" w:rsidRDefault="00DA70F7" w:rsidP="00622E67">
            <w:pPr>
              <w:spacing w:after="60" w:line="264" w:lineRule="auto"/>
              <w:jc w:val="both"/>
              <w:rPr>
                <w:rFonts w:ascii="Verdana" w:eastAsia="Times New Roman" w:hAnsi="Verdana"/>
                <w:b/>
                <w:sz w:val="20"/>
                <w:szCs w:val="20"/>
                <w:lang w:eastAsia="cs-CZ"/>
              </w:rPr>
            </w:pPr>
            <w:r w:rsidRPr="00025B12">
              <w:rPr>
                <w:rFonts w:ascii="Verdana" w:eastAsia="Times New Roman" w:hAnsi="Verdana"/>
                <w:b/>
                <w:sz w:val="20"/>
                <w:szCs w:val="20"/>
                <w:lang w:eastAsia="cs-CZ"/>
              </w:rPr>
              <w:t>Význam pro monitoring dalšího vzdělávání:</w:t>
            </w:r>
          </w:p>
          <w:p w:rsidR="00DA70F7" w:rsidRPr="00025B12" w:rsidRDefault="00DA70F7" w:rsidP="00DA70F7">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Jedná se o společnou databázi těchto tří institucí, která je založena na sběru dat z administrativních zdrojů zaměřenou především na formální vzdělávání. Za ČR databáze přebírá údaje od ÚIV. Data jsou následně publikována na webových stránkách zúčastněných institucí, které z nich nezávisle na sobě počítají nejrůznější ukazatele umožňující porovnání ČR s dalšími zeměmi. </w:t>
            </w:r>
          </w:p>
          <w:p w:rsidR="00DA70F7" w:rsidRPr="00025B12" w:rsidRDefault="00DA70F7" w:rsidP="00DA70F7">
            <w:pPr>
              <w:rPr>
                <w:rFonts w:ascii="Verdana" w:eastAsia="Times New Roman" w:hAnsi="Verdana"/>
                <w:sz w:val="20"/>
                <w:szCs w:val="20"/>
                <w:lang w:eastAsia="cs-CZ"/>
              </w:rPr>
            </w:pPr>
            <w:r w:rsidRPr="00025B12">
              <w:rPr>
                <w:rFonts w:ascii="Verdana" w:eastAsia="Times New Roman" w:hAnsi="Verdana"/>
                <w:b/>
                <w:sz w:val="20"/>
                <w:szCs w:val="20"/>
                <w:lang w:eastAsia="cs-CZ"/>
              </w:rPr>
              <w:t>OECD</w:t>
            </w:r>
            <w:r w:rsidRPr="00025B12">
              <w:rPr>
                <w:rFonts w:ascii="Verdana" w:eastAsia="Times New Roman" w:hAnsi="Verdana"/>
                <w:sz w:val="20"/>
                <w:szCs w:val="20"/>
                <w:lang w:eastAsia="cs-CZ"/>
              </w:rPr>
              <w:t xml:space="preserve"> publikuje na základě těchto dat především publikace Education at a Glance a Education Policy analysis. </w:t>
            </w:r>
          </w:p>
          <w:p w:rsidR="00DA70F7" w:rsidRPr="00025B12" w:rsidRDefault="00DA70F7" w:rsidP="00DA70F7">
            <w:pPr>
              <w:rPr>
                <w:rFonts w:ascii="Verdana" w:hAnsi="Verdana"/>
                <w:color w:val="333333"/>
                <w:sz w:val="20"/>
                <w:szCs w:val="20"/>
              </w:rPr>
            </w:pPr>
            <w:r w:rsidRPr="00025B12">
              <w:rPr>
                <w:rFonts w:ascii="Verdana" w:hAnsi="Verdana"/>
                <w:b/>
                <w:color w:val="333333"/>
                <w:sz w:val="20"/>
                <w:szCs w:val="20"/>
              </w:rPr>
              <w:t xml:space="preserve">UNESCO </w:t>
            </w:r>
            <w:r w:rsidRPr="00025B12">
              <w:rPr>
                <w:rFonts w:ascii="Verdana" w:hAnsi="Verdana"/>
                <w:color w:val="333333"/>
                <w:sz w:val="20"/>
                <w:szCs w:val="20"/>
              </w:rPr>
              <w:t>se soustředí především na počáteční vzdělávání a nepublikuje indikátory, které by bylo možné použít pro monitoring dalšího vzdělávání.</w:t>
            </w:r>
          </w:p>
          <w:p w:rsidR="00DA70F7" w:rsidRPr="00025B12" w:rsidRDefault="00DA70F7" w:rsidP="00DA70F7">
            <w:pPr>
              <w:spacing w:after="120" w:line="264" w:lineRule="auto"/>
              <w:jc w:val="both"/>
              <w:rPr>
                <w:rFonts w:ascii="Verdana" w:hAnsi="Verdana"/>
                <w:color w:val="333333"/>
                <w:sz w:val="20"/>
                <w:szCs w:val="20"/>
              </w:rPr>
            </w:pPr>
            <w:r w:rsidRPr="00025B12">
              <w:rPr>
                <w:rFonts w:ascii="Verdana" w:hAnsi="Verdana"/>
                <w:b/>
                <w:color w:val="333333"/>
                <w:sz w:val="20"/>
                <w:szCs w:val="20"/>
              </w:rPr>
              <w:t xml:space="preserve">Eurostat </w:t>
            </w:r>
            <w:r w:rsidRPr="00025B12">
              <w:rPr>
                <w:rFonts w:ascii="Verdana" w:hAnsi="Verdana"/>
                <w:color w:val="333333"/>
                <w:sz w:val="20"/>
                <w:szCs w:val="20"/>
              </w:rPr>
              <w:t>publikuje údaje z tohoto sběru v rámci své databáze, a to ve formě předvolených tabulek i s možností přizpůsobovaných tabulek a extrakce vybraných údajů přímo z databáze.</w:t>
            </w:r>
          </w:p>
        </w:tc>
      </w:tr>
      <w:tr w:rsidR="00DA70F7" w:rsidRPr="00025B12" w:rsidTr="00622E67">
        <w:trPr>
          <w:jc w:val="center"/>
        </w:trPr>
        <w:tc>
          <w:tcPr>
            <w:tcW w:w="2518" w:type="dxa"/>
            <w:shd w:val="clear" w:color="auto" w:fill="663399"/>
          </w:tcPr>
          <w:p w:rsidR="00DA70F7" w:rsidRPr="00025B12" w:rsidRDefault="00DA70F7"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Dotazník:</w:t>
            </w:r>
          </w:p>
        </w:tc>
        <w:tc>
          <w:tcPr>
            <w:tcW w:w="6770" w:type="dxa"/>
          </w:tcPr>
          <w:p w:rsidR="00DA70F7" w:rsidRPr="00025B12" w:rsidRDefault="00665F1D" w:rsidP="00622E67">
            <w:pPr>
              <w:spacing w:after="60" w:line="264" w:lineRule="auto"/>
              <w:jc w:val="both"/>
              <w:rPr>
                <w:rFonts w:ascii="Verdana" w:eastAsia="Times New Roman" w:hAnsi="Verdana"/>
                <w:sz w:val="20"/>
                <w:szCs w:val="20"/>
                <w:lang w:eastAsia="cs-CZ"/>
              </w:rPr>
            </w:pPr>
            <w:hyperlink r:id="rId36" w:history="1">
              <w:r w:rsidR="00DA70F7" w:rsidRPr="00025B12">
                <w:rPr>
                  <w:rStyle w:val="Hypertextovodkaz"/>
                  <w:rFonts w:ascii="Verdana" w:hAnsi="Verdana"/>
                  <w:sz w:val="20"/>
                  <w:szCs w:val="20"/>
                </w:rPr>
                <w:t>http://www.uiv.cz/clanek/447/1800</w:t>
              </w:r>
            </w:hyperlink>
          </w:p>
        </w:tc>
      </w:tr>
      <w:tr w:rsidR="00DA70F7" w:rsidRPr="00025B12" w:rsidTr="00622E67">
        <w:trPr>
          <w:jc w:val="center"/>
        </w:trPr>
        <w:tc>
          <w:tcPr>
            <w:tcW w:w="2518" w:type="dxa"/>
            <w:shd w:val="clear" w:color="auto" w:fill="663399"/>
          </w:tcPr>
          <w:p w:rsidR="00DA70F7" w:rsidRPr="00025B12" w:rsidRDefault="00DA70F7"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Zdroj:</w:t>
            </w:r>
          </w:p>
        </w:tc>
        <w:tc>
          <w:tcPr>
            <w:tcW w:w="6770" w:type="dxa"/>
          </w:tcPr>
          <w:p w:rsidR="00DA70F7" w:rsidRPr="00025B12" w:rsidRDefault="00DA70F7" w:rsidP="00DA70F7">
            <w:pPr>
              <w:spacing w:after="6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Eurostat:</w:t>
            </w:r>
            <w:hyperlink r:id="rId37" w:history="1">
              <w:r w:rsidRPr="00025B12">
                <w:rPr>
                  <w:rFonts w:ascii="Verdana" w:eastAsia="Times New Roman" w:hAnsi="Verdana"/>
                  <w:color w:val="0000FF"/>
                  <w:sz w:val="20"/>
                  <w:szCs w:val="20"/>
                  <w:u w:val="single"/>
                  <w:lang w:eastAsia="cs-CZ"/>
                </w:rPr>
                <w:t>http://circa.europa.eu/Public/irc/dsis/edtcs/library?l=/public/unesco_collection/2009&amp;vm=detailed&amp;sb=Title</w:t>
              </w:r>
            </w:hyperlink>
            <w:r w:rsidRPr="00025B12">
              <w:rPr>
                <w:rFonts w:ascii="Verdana" w:eastAsia="Times New Roman" w:hAnsi="Verdana"/>
                <w:sz w:val="20"/>
                <w:szCs w:val="20"/>
                <w:lang w:eastAsia="cs-CZ"/>
              </w:rPr>
              <w:t>.</w:t>
            </w:r>
          </w:p>
          <w:p w:rsidR="00DA70F7" w:rsidRPr="00025B12" w:rsidRDefault="00DA70F7" w:rsidP="00DA70F7">
            <w:pPr>
              <w:spacing w:after="6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ÚIV: </w:t>
            </w:r>
            <w:hyperlink r:id="rId38" w:history="1">
              <w:r w:rsidRPr="00025B12">
                <w:rPr>
                  <w:rStyle w:val="Hypertextovodkaz"/>
                  <w:rFonts w:ascii="Verdana" w:hAnsi="Verdana"/>
                  <w:sz w:val="20"/>
                  <w:szCs w:val="20"/>
                </w:rPr>
                <w:t>http://www.uiv.cz/clanek/447/1800</w:t>
              </w:r>
            </w:hyperlink>
          </w:p>
        </w:tc>
      </w:tr>
    </w:tbl>
    <w:p w:rsidR="00DA70F7" w:rsidRPr="00025B12" w:rsidRDefault="00DA70F7" w:rsidP="000C6631">
      <w:pPr>
        <w:spacing w:after="60" w:line="264" w:lineRule="auto"/>
        <w:jc w:val="both"/>
        <w:outlineLvl w:val="0"/>
        <w:rPr>
          <w:rFonts w:ascii="Verdana" w:eastAsia="Times New Roman" w:hAnsi="Verdana"/>
          <w:b/>
          <w:sz w:val="24"/>
          <w:szCs w:val="24"/>
          <w:lang w:eastAsia="cs-CZ"/>
        </w:rPr>
      </w:pPr>
    </w:p>
    <w:p w:rsidR="001F75A4" w:rsidRPr="00025B12" w:rsidRDefault="001F75A4" w:rsidP="00641D19">
      <w:pPr>
        <w:numPr>
          <w:ilvl w:val="0"/>
          <w:numId w:val="25"/>
        </w:numPr>
        <w:spacing w:after="60" w:line="264" w:lineRule="auto"/>
        <w:jc w:val="both"/>
        <w:rPr>
          <w:rFonts w:ascii="Verdana" w:eastAsia="Times New Roman" w:hAnsi="Verdana"/>
          <w:b/>
          <w:sz w:val="24"/>
          <w:szCs w:val="24"/>
          <w:lang w:eastAsia="cs-CZ"/>
        </w:rPr>
      </w:pPr>
      <w:bookmarkStart w:id="154" w:name="Databáze_nabídky"/>
      <w:bookmarkEnd w:id="153"/>
      <w:r w:rsidRPr="00025B12">
        <w:rPr>
          <w:rFonts w:ascii="Verdana" w:eastAsia="Times New Roman" w:hAnsi="Verdana"/>
          <w:b/>
          <w:sz w:val="24"/>
          <w:szCs w:val="24"/>
          <w:lang w:eastAsia="cs-CZ"/>
        </w:rPr>
        <w:t>Databáze nabídky dalšího vzdělávání</w:t>
      </w:r>
    </w:p>
    <w:p w:rsidR="0048425F" w:rsidRPr="00025B12" w:rsidRDefault="0048425F" w:rsidP="0048425F">
      <w:pPr>
        <w:spacing w:after="60" w:line="264" w:lineRule="auto"/>
        <w:jc w:val="both"/>
        <w:rPr>
          <w:rFonts w:ascii="Verdana" w:eastAsia="Times New Roman" w:hAnsi="Verdana"/>
          <w:b/>
          <w:sz w:val="24"/>
          <w:szCs w:val="24"/>
          <w:lang w:eastAsia="cs-C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48425F" w:rsidRPr="00025B12" w:rsidTr="00622E67">
        <w:trPr>
          <w:jc w:val="center"/>
        </w:trPr>
        <w:tc>
          <w:tcPr>
            <w:tcW w:w="2518" w:type="dxa"/>
            <w:shd w:val="clear" w:color="auto" w:fill="663399"/>
          </w:tcPr>
          <w:p w:rsidR="0048425F" w:rsidRPr="00025B12" w:rsidRDefault="0048425F"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48425F" w:rsidRPr="00025B12" w:rsidRDefault="0048425F"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Ivitera, Traxima, Education s.r.o a další</w:t>
            </w:r>
          </w:p>
        </w:tc>
      </w:tr>
      <w:tr w:rsidR="0048425F" w:rsidRPr="00025B12" w:rsidTr="00622E67">
        <w:trPr>
          <w:jc w:val="center"/>
        </w:trPr>
        <w:tc>
          <w:tcPr>
            <w:tcW w:w="2518" w:type="dxa"/>
            <w:shd w:val="clear" w:color="auto" w:fill="663399"/>
          </w:tcPr>
          <w:p w:rsidR="0048425F" w:rsidRPr="00025B12" w:rsidRDefault="0048425F"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48425F" w:rsidRPr="00025B12" w:rsidRDefault="0048425F"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Průběžně</w:t>
            </w:r>
          </w:p>
        </w:tc>
      </w:tr>
      <w:tr w:rsidR="0048425F" w:rsidRPr="00025B12" w:rsidTr="00622E67">
        <w:trPr>
          <w:jc w:val="center"/>
        </w:trPr>
        <w:tc>
          <w:tcPr>
            <w:tcW w:w="2518" w:type="dxa"/>
            <w:shd w:val="clear" w:color="auto" w:fill="663399"/>
          </w:tcPr>
          <w:p w:rsidR="0048425F" w:rsidRPr="00025B12" w:rsidRDefault="0048425F"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Rozsah vzorku:</w:t>
            </w:r>
          </w:p>
        </w:tc>
        <w:tc>
          <w:tcPr>
            <w:tcW w:w="6770" w:type="dxa"/>
            <w:shd w:val="clear" w:color="auto" w:fill="663399"/>
          </w:tcPr>
          <w:p w:rsidR="0048425F" w:rsidRPr="00025B12" w:rsidRDefault="0048425F"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Až 35 tis. akcí od 3 tis. vzdělavatelů</w:t>
            </w:r>
          </w:p>
        </w:tc>
      </w:tr>
      <w:tr w:rsidR="0048425F" w:rsidRPr="00025B12" w:rsidTr="00622E67">
        <w:trPr>
          <w:jc w:val="center"/>
        </w:trPr>
        <w:tc>
          <w:tcPr>
            <w:tcW w:w="2518" w:type="dxa"/>
            <w:shd w:val="clear" w:color="auto" w:fill="663399"/>
          </w:tcPr>
          <w:p w:rsidR="0048425F" w:rsidRPr="00025B12" w:rsidRDefault="0048425F"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48425F" w:rsidRPr="00025B12" w:rsidRDefault="0048425F"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Celá ČR</w:t>
            </w:r>
          </w:p>
        </w:tc>
      </w:tr>
      <w:tr w:rsidR="0048425F" w:rsidRPr="00025B12" w:rsidTr="00622E67">
        <w:trPr>
          <w:jc w:val="center"/>
        </w:trPr>
        <w:tc>
          <w:tcPr>
            <w:tcW w:w="9288" w:type="dxa"/>
            <w:gridSpan w:val="2"/>
          </w:tcPr>
          <w:p w:rsidR="0048425F" w:rsidRPr="00025B12" w:rsidRDefault="0048425F" w:rsidP="0048425F">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Nabídku dalšího vzdělávání lze monitorovat na základě různých databází vzdělávacích institucí či kurzů. Většina z nich není přímo určena k monitoringu, nýbrž k inzerci, což přináší při snaze vytěžit z nich informace pro monitoring nabídky další vzdělávání jisté metodické obtíže. Přesto je možné je považovat za významný zdroj informací o nabídce </w:t>
            </w:r>
            <w:r w:rsidRPr="00025B12">
              <w:rPr>
                <w:rFonts w:ascii="Verdana" w:eastAsia="Times New Roman" w:hAnsi="Verdana"/>
                <w:sz w:val="20"/>
                <w:szCs w:val="20"/>
                <w:lang w:eastAsia="cs-CZ"/>
              </w:rPr>
              <w:lastRenderedPageBreak/>
              <w:t>dalšího vzdělávání. Mezi nejvýznamnější databáze nabídky dalšího vzdělávání patří například:</w:t>
            </w:r>
          </w:p>
          <w:p w:rsidR="0048425F" w:rsidRPr="00025B12" w:rsidRDefault="0048425F" w:rsidP="0048425F">
            <w:pPr>
              <w:numPr>
                <w:ilvl w:val="0"/>
                <w:numId w:val="26"/>
              </w:numPr>
              <w:jc w:val="both"/>
              <w:rPr>
                <w:rFonts w:ascii="Verdana" w:eastAsia="Times New Roman" w:hAnsi="Verdana"/>
                <w:i/>
                <w:sz w:val="20"/>
                <w:szCs w:val="20"/>
                <w:lang w:eastAsia="cs-CZ"/>
              </w:rPr>
            </w:pPr>
            <w:r w:rsidRPr="00025B12">
              <w:rPr>
                <w:rFonts w:ascii="Verdana" w:eastAsia="Times New Roman" w:hAnsi="Verdana"/>
                <w:b/>
                <w:sz w:val="20"/>
                <w:szCs w:val="20"/>
                <w:lang w:eastAsia="cs-CZ"/>
              </w:rPr>
              <w:t xml:space="preserve">Databáze EduCity je co do rozsahu největším portálem. Nabízí téměř 35 tis. vzdělávacích akcí od více než 3 tis. společností. </w:t>
            </w:r>
            <w:r w:rsidRPr="00025B12">
              <w:rPr>
                <w:rFonts w:ascii="Verdana" w:eastAsia="Times New Roman" w:hAnsi="Verdana"/>
                <w:sz w:val="20"/>
                <w:szCs w:val="20"/>
                <w:lang w:eastAsia="cs-CZ"/>
              </w:rPr>
              <w:t xml:space="preserve">Katalog vzdělávacích firem obsahuje velmi detailní informace o vzdělavateli: </w:t>
            </w:r>
            <w:r w:rsidRPr="00025B12">
              <w:rPr>
                <w:rFonts w:ascii="Verdana" w:eastAsia="Times New Roman" w:hAnsi="Verdana"/>
                <w:i/>
                <w:sz w:val="20"/>
                <w:szCs w:val="20"/>
                <w:lang w:eastAsia="cs-CZ"/>
              </w:rPr>
              <w:t xml:space="preserve">adresa vzdělavatele, emailového a telefonního spojení, www stránky a počet pořádaných kurzů daným vzdělavatelem. </w:t>
            </w:r>
            <w:r w:rsidRPr="00025B12">
              <w:rPr>
                <w:rFonts w:ascii="Verdana" w:hAnsi="Verdana"/>
                <w:sz w:val="20"/>
                <w:szCs w:val="20"/>
              </w:rPr>
              <w:t>Kurzy na tomto portálu lze hledat podle regionu, termínu zahájení a dle obsahového zaměření.</w:t>
            </w:r>
          </w:p>
          <w:p w:rsidR="0048425F" w:rsidRPr="00025B12" w:rsidRDefault="0048425F" w:rsidP="0048425F">
            <w:pPr>
              <w:numPr>
                <w:ilvl w:val="0"/>
                <w:numId w:val="26"/>
              </w:numPr>
              <w:jc w:val="both"/>
              <w:rPr>
                <w:rFonts w:ascii="Verdana" w:eastAsia="Times New Roman" w:hAnsi="Verdana"/>
                <w:i/>
                <w:sz w:val="20"/>
                <w:szCs w:val="20"/>
                <w:lang w:eastAsia="cs-CZ"/>
              </w:rPr>
            </w:pPr>
            <w:r w:rsidRPr="00025B12">
              <w:rPr>
                <w:rFonts w:ascii="Verdana" w:eastAsia="Times New Roman" w:hAnsi="Verdana"/>
                <w:b/>
                <w:sz w:val="20"/>
                <w:szCs w:val="20"/>
                <w:lang w:eastAsia="cs-CZ"/>
              </w:rPr>
              <w:t xml:space="preserve">Databáze EU-DAT CZ je druhým největším portálem </w:t>
            </w:r>
            <w:r w:rsidRPr="00025B12">
              <w:rPr>
                <w:rFonts w:ascii="Verdana" w:eastAsia="Times New Roman" w:hAnsi="Verdana"/>
                <w:sz w:val="20"/>
                <w:szCs w:val="20"/>
                <w:lang w:eastAsia="cs-CZ"/>
              </w:rPr>
              <w:t xml:space="preserve">(cca 10 tis. vzdělávacích akcí, přes 1000 vzdělavatelů). </w:t>
            </w:r>
            <w:r w:rsidRPr="00025B12">
              <w:rPr>
                <w:rFonts w:ascii="Verdana" w:hAnsi="Verdana"/>
                <w:sz w:val="20"/>
                <w:szCs w:val="20"/>
              </w:rPr>
              <w:t>Tento portál obsahuje také rozšířené vyhledávání, ve kterém lze hledat kurzy podle celé řady dalších kritérií - dle regionu či zaměření dalšího vzdělání, dle termínu zahájení kurzu, cílové skupiny vzdělávajících se (pro specifické kategorie osob). Oproti ostatním portálům obsahuje navíc i informace o akreditaci daného kurzu.</w:t>
            </w:r>
          </w:p>
          <w:p w:rsidR="0048425F" w:rsidRPr="00025B12" w:rsidRDefault="0048425F" w:rsidP="0048425F">
            <w:pPr>
              <w:numPr>
                <w:ilvl w:val="0"/>
                <w:numId w:val="26"/>
              </w:numPr>
              <w:jc w:val="both"/>
              <w:rPr>
                <w:rFonts w:ascii="Verdana" w:eastAsia="Times New Roman" w:hAnsi="Verdana"/>
                <w:sz w:val="20"/>
                <w:szCs w:val="20"/>
                <w:lang w:eastAsia="cs-CZ"/>
              </w:rPr>
            </w:pPr>
            <w:r w:rsidRPr="00025B12">
              <w:rPr>
                <w:rFonts w:ascii="Verdana" w:eastAsia="Times New Roman" w:hAnsi="Verdana"/>
                <w:b/>
                <w:sz w:val="20"/>
                <w:szCs w:val="20"/>
                <w:lang w:eastAsia="cs-CZ"/>
              </w:rPr>
              <w:t xml:space="preserve">Databáze Edumenu </w:t>
            </w:r>
            <w:r w:rsidRPr="00025B12">
              <w:rPr>
                <w:rFonts w:ascii="Verdana" w:eastAsia="Times New Roman" w:hAnsi="Verdana"/>
                <w:sz w:val="20"/>
                <w:szCs w:val="20"/>
                <w:lang w:eastAsia="cs-CZ"/>
              </w:rPr>
              <w:t>obsahuje nabídku cca 3,5 tis. vzdělávacích kurzů od 650 vzdělavatelů. Na tomto portálu lze vyhledávat kurzy dle regionu konání a obsahového zaměření kurzu. Navíc lze využít zrychlenou navigaci, která umožňuje filtrovat pouze kurzy rekvalifikační, formu studia e-learning a také členy Asociace institucí vzdělávání dospělých (AIVD). Vedle toho lze odlišit kurzy veřejné a šité na míru. Funguje inzertní formou.</w:t>
            </w:r>
          </w:p>
          <w:p w:rsidR="0048425F" w:rsidRPr="00025B12" w:rsidRDefault="0048425F" w:rsidP="00B3306F">
            <w:pPr>
              <w:jc w:val="both"/>
              <w:rPr>
                <w:rFonts w:ascii="Verdana" w:hAnsi="Verdana"/>
                <w:color w:val="333333"/>
                <w:sz w:val="20"/>
                <w:szCs w:val="20"/>
              </w:rPr>
            </w:pPr>
            <w:r w:rsidRPr="00025B12">
              <w:rPr>
                <w:rFonts w:ascii="Verdana" w:eastAsia="Times New Roman" w:hAnsi="Verdana"/>
                <w:sz w:val="20"/>
                <w:szCs w:val="20"/>
                <w:lang w:eastAsia="cs-CZ"/>
              </w:rPr>
              <w:t>Kromě zmíněných hlavních databází je k dispozici řada dalších menších či specifičtěji změřených. Jejich kompletní přehled včetně používaných kategorizací oblastí vzdělávání viz podkladový materiál Evaluace portálů a možnosti získání dat. Na základě analýzy nabídky kurzů na webových stránkách největších vzdělávacích firem bylo zjištěno, že většina kurzů se objevuje i na všeobecných portálech a že tyto portály jsou dobrým informačním zdrojem pro monitoring celkové nabídky. Velký problém v oblasti monitoringu nabídky dalšího vzdělávání představuje sledování kurzů připravovaných na míru podle potřeb firem. Odhadnout rozsah této nabídky je velmi obtížné, nicméně alespoň nějaké informace o takovéto nabídce a její struktuře jsou obsaženy</w:t>
            </w:r>
            <w:r w:rsidR="00B3306F" w:rsidRPr="00025B12">
              <w:rPr>
                <w:rFonts w:ascii="Verdana" w:eastAsia="Times New Roman" w:hAnsi="Verdana"/>
                <w:sz w:val="20"/>
                <w:szCs w:val="20"/>
                <w:lang w:eastAsia="cs-CZ"/>
              </w:rPr>
              <w:t xml:space="preserve"> na portálu EduCity.</w:t>
            </w:r>
          </w:p>
        </w:tc>
      </w:tr>
      <w:tr w:rsidR="0048425F" w:rsidRPr="00025B12" w:rsidTr="00622E67">
        <w:trPr>
          <w:jc w:val="center"/>
        </w:trPr>
        <w:tc>
          <w:tcPr>
            <w:tcW w:w="2518" w:type="dxa"/>
            <w:shd w:val="clear" w:color="auto" w:fill="663399"/>
          </w:tcPr>
          <w:p w:rsidR="0048425F" w:rsidRPr="00025B12" w:rsidRDefault="0048425F"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lastRenderedPageBreak/>
              <w:t>Zdroj:</w:t>
            </w:r>
          </w:p>
        </w:tc>
        <w:tc>
          <w:tcPr>
            <w:tcW w:w="6770" w:type="dxa"/>
          </w:tcPr>
          <w:p w:rsidR="0048425F" w:rsidRPr="00025B12" w:rsidRDefault="00665F1D" w:rsidP="00622E67">
            <w:pPr>
              <w:spacing w:after="60" w:line="264" w:lineRule="auto"/>
              <w:jc w:val="both"/>
              <w:rPr>
                <w:rFonts w:ascii="Verdana" w:hAnsi="Verdana"/>
                <w:sz w:val="20"/>
                <w:szCs w:val="20"/>
              </w:rPr>
            </w:pPr>
            <w:hyperlink r:id="rId39" w:history="1">
              <w:r w:rsidR="0048425F" w:rsidRPr="00025B12">
                <w:rPr>
                  <w:rStyle w:val="Hypertextovodkaz"/>
                  <w:rFonts w:ascii="Verdana" w:hAnsi="Verdana"/>
                  <w:sz w:val="20"/>
                  <w:szCs w:val="20"/>
                </w:rPr>
                <w:t>http://www.skoleni-kurzy-educity.cz/</w:t>
              </w:r>
            </w:hyperlink>
          </w:p>
          <w:p w:rsidR="0048425F" w:rsidRPr="00025B12" w:rsidRDefault="00665F1D" w:rsidP="00622E67">
            <w:pPr>
              <w:spacing w:after="60" w:line="264" w:lineRule="auto"/>
              <w:jc w:val="both"/>
              <w:rPr>
                <w:rFonts w:ascii="Verdana" w:hAnsi="Verdana"/>
                <w:sz w:val="20"/>
                <w:szCs w:val="20"/>
              </w:rPr>
            </w:pPr>
            <w:hyperlink r:id="rId40" w:history="1">
              <w:r w:rsidR="0048425F" w:rsidRPr="00025B12">
                <w:rPr>
                  <w:rFonts w:ascii="Verdana" w:eastAsia="Times New Roman" w:hAnsi="Verdana"/>
                  <w:color w:val="0000FF"/>
                  <w:sz w:val="20"/>
                  <w:szCs w:val="20"/>
                  <w:u w:val="single"/>
                  <w:lang w:eastAsia="cs-CZ"/>
                </w:rPr>
                <w:t>http://www.eu-dat.cz</w:t>
              </w:r>
            </w:hyperlink>
          </w:p>
          <w:p w:rsidR="0048425F" w:rsidRPr="00025B12" w:rsidRDefault="00665F1D" w:rsidP="00622E67">
            <w:pPr>
              <w:spacing w:after="60" w:line="264" w:lineRule="auto"/>
              <w:jc w:val="both"/>
              <w:rPr>
                <w:rFonts w:ascii="Verdana" w:hAnsi="Verdana"/>
                <w:sz w:val="20"/>
                <w:szCs w:val="20"/>
              </w:rPr>
            </w:pPr>
            <w:hyperlink r:id="rId41" w:history="1">
              <w:r w:rsidR="0048425F" w:rsidRPr="00025B12">
                <w:rPr>
                  <w:rFonts w:ascii="Verdana" w:eastAsia="Times New Roman" w:hAnsi="Verdana"/>
                  <w:color w:val="0000FF"/>
                  <w:sz w:val="20"/>
                  <w:szCs w:val="20"/>
                  <w:u w:val="single"/>
                  <w:lang w:eastAsia="cs-CZ"/>
                </w:rPr>
                <w:t>http://www.edumenu.cz/</w:t>
              </w:r>
            </w:hyperlink>
          </w:p>
          <w:p w:rsidR="0048425F" w:rsidRPr="00025B12" w:rsidRDefault="0048425F" w:rsidP="00622E67">
            <w:pPr>
              <w:spacing w:after="60" w:line="264" w:lineRule="auto"/>
              <w:jc w:val="both"/>
              <w:rPr>
                <w:rFonts w:ascii="Verdana" w:eastAsia="Times New Roman" w:hAnsi="Verdana"/>
                <w:sz w:val="20"/>
                <w:szCs w:val="20"/>
                <w:lang w:eastAsia="cs-CZ"/>
              </w:rPr>
            </w:pPr>
            <w:r w:rsidRPr="00025B12">
              <w:rPr>
                <w:rFonts w:ascii="Verdana" w:hAnsi="Verdana"/>
                <w:sz w:val="20"/>
                <w:szCs w:val="20"/>
              </w:rPr>
              <w:t xml:space="preserve">Podkladová studie </w:t>
            </w:r>
            <w:r w:rsidR="000F6634" w:rsidRPr="00025B12">
              <w:rPr>
                <w:rFonts w:ascii="Verdana" w:hAnsi="Verdana"/>
                <w:sz w:val="20"/>
                <w:szCs w:val="20"/>
              </w:rPr>
              <w:t>Evaluace portálů a možnosti získání dat</w:t>
            </w:r>
          </w:p>
        </w:tc>
      </w:tr>
    </w:tbl>
    <w:p w:rsidR="0048425F" w:rsidRPr="00025B12" w:rsidRDefault="0048425F" w:rsidP="0048425F">
      <w:pPr>
        <w:spacing w:after="60" w:line="264" w:lineRule="auto"/>
        <w:jc w:val="both"/>
        <w:rPr>
          <w:rFonts w:ascii="Verdana" w:eastAsia="Times New Roman" w:hAnsi="Verdana"/>
          <w:b/>
          <w:sz w:val="24"/>
          <w:szCs w:val="24"/>
          <w:lang w:eastAsia="cs-CZ"/>
        </w:rPr>
      </w:pPr>
    </w:p>
    <w:p w:rsidR="001F75A4" w:rsidRPr="00025B12" w:rsidRDefault="001F75A4" w:rsidP="00953A33">
      <w:pPr>
        <w:spacing w:after="60" w:line="264" w:lineRule="auto"/>
        <w:ind w:left="360"/>
        <w:jc w:val="both"/>
        <w:rPr>
          <w:rFonts w:ascii="Verdana" w:eastAsia="Times New Roman" w:hAnsi="Verdana"/>
          <w:b/>
          <w:sz w:val="24"/>
          <w:szCs w:val="24"/>
          <w:lang w:eastAsia="cs-CZ"/>
        </w:rPr>
      </w:pPr>
      <w:bookmarkStart w:id="155" w:name="_Ref273628083"/>
      <w:bookmarkStart w:id="156" w:name="Databáze_UIV"/>
      <w:bookmarkEnd w:id="154"/>
      <w:r w:rsidRPr="00025B12">
        <w:rPr>
          <w:rFonts w:ascii="Verdana" w:eastAsia="Times New Roman" w:hAnsi="Verdana"/>
          <w:b/>
          <w:sz w:val="24"/>
          <w:szCs w:val="24"/>
          <w:lang w:eastAsia="cs-CZ"/>
        </w:rPr>
        <w:t>Databáze Ústavu pro informace ve vzdělávání (ÚIV):</w:t>
      </w:r>
      <w:bookmarkEnd w:id="155"/>
    </w:p>
    <w:bookmarkEnd w:id="156"/>
    <w:p w:rsidR="008908BA" w:rsidRPr="00025B12" w:rsidRDefault="008908BA" w:rsidP="000C6631">
      <w:pPr>
        <w:jc w:val="both"/>
        <w:outlineLvl w:val="0"/>
        <w:rPr>
          <w:rFonts w:ascii="Verdana" w:hAnsi="Verdana"/>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8908BA" w:rsidRPr="00025B12" w:rsidTr="00622E67">
        <w:trPr>
          <w:jc w:val="center"/>
        </w:trPr>
        <w:tc>
          <w:tcPr>
            <w:tcW w:w="2518" w:type="dxa"/>
            <w:shd w:val="clear" w:color="auto" w:fill="663399"/>
          </w:tcPr>
          <w:p w:rsidR="008908BA" w:rsidRPr="00025B12" w:rsidRDefault="008908BA" w:rsidP="00622E67">
            <w:pPr>
              <w:spacing w:after="60" w:line="264" w:lineRule="auto"/>
              <w:jc w:val="both"/>
              <w:rPr>
                <w:rFonts w:ascii="Verdana" w:eastAsia="Times New Roman" w:hAnsi="Verdana"/>
                <w:b/>
                <w:color w:val="FFFFFF"/>
                <w:sz w:val="20"/>
                <w:szCs w:val="20"/>
                <w:lang w:eastAsia="cs-CZ"/>
              </w:rPr>
            </w:pPr>
            <w:bookmarkStart w:id="157" w:name="ISSZ"/>
            <w:r w:rsidRPr="00025B12">
              <w:rPr>
                <w:rFonts w:ascii="Verdana" w:eastAsia="Times New Roman" w:hAnsi="Verdana"/>
                <w:b/>
                <w:color w:val="FFFFFF"/>
                <w:sz w:val="20"/>
                <w:szCs w:val="20"/>
                <w:lang w:eastAsia="cs-CZ"/>
              </w:rPr>
              <w:t>Realizátor:</w:t>
            </w:r>
          </w:p>
        </w:tc>
        <w:tc>
          <w:tcPr>
            <w:tcW w:w="6770" w:type="dxa"/>
            <w:shd w:val="clear" w:color="auto" w:fill="663399"/>
          </w:tcPr>
          <w:p w:rsidR="008908BA" w:rsidRPr="00025B12" w:rsidRDefault="008908BA"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ÚIV</w:t>
            </w:r>
          </w:p>
        </w:tc>
      </w:tr>
      <w:tr w:rsidR="008908BA" w:rsidRPr="00025B12" w:rsidTr="00622E67">
        <w:trPr>
          <w:jc w:val="center"/>
        </w:trPr>
        <w:tc>
          <w:tcPr>
            <w:tcW w:w="2518" w:type="dxa"/>
            <w:shd w:val="clear" w:color="auto" w:fill="663399"/>
          </w:tcPr>
          <w:p w:rsidR="008908BA" w:rsidRPr="00025B12" w:rsidRDefault="008908BA"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Cílová populace:</w:t>
            </w:r>
          </w:p>
        </w:tc>
        <w:tc>
          <w:tcPr>
            <w:tcW w:w="6770" w:type="dxa"/>
            <w:shd w:val="clear" w:color="auto" w:fill="663399"/>
          </w:tcPr>
          <w:p w:rsidR="008908BA" w:rsidRPr="00025B12" w:rsidRDefault="008908BA"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Formální vzdělávání</w:t>
            </w:r>
          </w:p>
        </w:tc>
      </w:tr>
      <w:tr w:rsidR="008908BA" w:rsidRPr="00025B12" w:rsidTr="00622E67">
        <w:trPr>
          <w:jc w:val="center"/>
        </w:trPr>
        <w:tc>
          <w:tcPr>
            <w:tcW w:w="2518" w:type="dxa"/>
            <w:shd w:val="clear" w:color="auto" w:fill="663399"/>
          </w:tcPr>
          <w:p w:rsidR="008908BA" w:rsidRPr="00025B12" w:rsidRDefault="008908BA"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8908BA" w:rsidRPr="00025B12" w:rsidRDefault="008908BA" w:rsidP="008908BA">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Průběžně – výstupy roční</w:t>
            </w:r>
          </w:p>
        </w:tc>
      </w:tr>
      <w:tr w:rsidR="008908BA" w:rsidRPr="00025B12" w:rsidTr="00622E67">
        <w:trPr>
          <w:jc w:val="center"/>
        </w:trPr>
        <w:tc>
          <w:tcPr>
            <w:tcW w:w="2518" w:type="dxa"/>
            <w:shd w:val="clear" w:color="auto" w:fill="663399"/>
          </w:tcPr>
          <w:p w:rsidR="008908BA" w:rsidRPr="00025B12" w:rsidRDefault="008908BA"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8908BA" w:rsidRPr="00025B12" w:rsidRDefault="008908BA" w:rsidP="008908BA">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Celá ČR</w:t>
            </w:r>
          </w:p>
        </w:tc>
      </w:tr>
      <w:tr w:rsidR="008908BA" w:rsidRPr="00025B12" w:rsidTr="00622E67">
        <w:trPr>
          <w:jc w:val="center"/>
        </w:trPr>
        <w:tc>
          <w:tcPr>
            <w:tcW w:w="9288" w:type="dxa"/>
            <w:gridSpan w:val="2"/>
          </w:tcPr>
          <w:p w:rsidR="008908BA" w:rsidRPr="00025B12" w:rsidRDefault="008908BA" w:rsidP="008908BA">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Informačním zdrojem pro databázi ÚIV je zejména rejstřík škola školských zařízení, školská matrika, SIMS (Sdružené informace z matrik studentů vysokých škol) a výkazy </w:t>
            </w:r>
            <w:r w:rsidRPr="00025B12">
              <w:rPr>
                <w:rFonts w:ascii="Verdana" w:eastAsia="Times New Roman" w:hAnsi="Verdana"/>
                <w:sz w:val="20"/>
                <w:szCs w:val="20"/>
                <w:lang w:eastAsia="cs-CZ"/>
              </w:rPr>
              <w:lastRenderedPageBreak/>
              <w:t>vyplňované školami v rámci Programu statistických zjišťování či na základě školského zákona.</w:t>
            </w:r>
          </w:p>
          <w:p w:rsidR="008908BA" w:rsidRPr="00025B12" w:rsidRDefault="008908BA" w:rsidP="008908BA">
            <w:pPr>
              <w:spacing w:after="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Údaje z databáze jsou publikovány každoročně formou </w:t>
            </w:r>
            <w:r w:rsidRPr="00025B12">
              <w:rPr>
                <w:rFonts w:ascii="Verdana" w:eastAsia="Times New Roman" w:hAnsi="Verdana"/>
                <w:i/>
                <w:sz w:val="20"/>
                <w:szCs w:val="20"/>
                <w:lang w:eastAsia="cs-CZ"/>
              </w:rPr>
              <w:t>Ročenky školství</w:t>
            </w:r>
            <w:r w:rsidRPr="00025B12">
              <w:rPr>
                <w:rFonts w:ascii="Verdana" w:eastAsia="Times New Roman" w:hAnsi="Verdana"/>
                <w:sz w:val="20"/>
                <w:szCs w:val="20"/>
                <w:lang w:eastAsia="cs-CZ"/>
              </w:rPr>
              <w:t xml:space="preserve"> pro následující oblasti: </w:t>
            </w:r>
          </w:p>
          <w:p w:rsidR="008908BA" w:rsidRPr="00025B12" w:rsidRDefault="008908BA" w:rsidP="008908BA">
            <w:pPr>
              <w:numPr>
                <w:ilvl w:val="1"/>
                <w:numId w:val="25"/>
              </w:numPr>
              <w:spacing w:after="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Výkonové ukazatele,</w:t>
            </w:r>
          </w:p>
          <w:p w:rsidR="008908BA" w:rsidRPr="00025B12" w:rsidRDefault="008908BA" w:rsidP="008908BA">
            <w:pPr>
              <w:numPr>
                <w:ilvl w:val="1"/>
                <w:numId w:val="25"/>
              </w:numPr>
              <w:spacing w:after="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Zaměstnanci a mzdové prostředky,</w:t>
            </w:r>
          </w:p>
          <w:p w:rsidR="008908BA" w:rsidRPr="00025B12" w:rsidRDefault="008908BA" w:rsidP="008908BA">
            <w:pPr>
              <w:numPr>
                <w:ilvl w:val="1"/>
                <w:numId w:val="25"/>
              </w:numPr>
              <w:spacing w:after="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Ekonomické ukazatele,</w:t>
            </w:r>
          </w:p>
          <w:p w:rsidR="008908BA" w:rsidRPr="00025B12" w:rsidRDefault="008908BA" w:rsidP="008908BA">
            <w:pPr>
              <w:numPr>
                <w:ilvl w:val="1"/>
                <w:numId w:val="25"/>
              </w:num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Vývojová ročenka.</w:t>
            </w:r>
          </w:p>
          <w:p w:rsidR="008908BA" w:rsidRPr="00025B12" w:rsidRDefault="008908BA" w:rsidP="008908BA">
            <w:pPr>
              <w:autoSpaceDE w:val="0"/>
              <w:autoSpaceDN w:val="0"/>
              <w:adjustRightInd w:val="0"/>
              <w:spacing w:after="240" w:line="240"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Tyto publikace mají i webovou podobu s možností vyhledávání tabulek. </w:t>
            </w:r>
          </w:p>
          <w:p w:rsidR="008908BA" w:rsidRPr="00025B12" w:rsidRDefault="008908BA" w:rsidP="008908BA">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Databáze není přímo zaměřena na monitoring dalšího vzdělávání, poskytuje však informace o vzdělávání ve školách v různých tříděních, která mohou být pro monitoring dalšího vzdělávání využitelná. To se týká především výkonových ukazatelů školství, které obsahují členění na denní (prezenční) a ostatní formy studia. Ročenka zaměstnanců a mzdových ukazatelů a ekonomických ukazatelů toto členění postrádá a není tedy možné vyhodnocovat je pro potřeby monitoringu dalšího vzdělávání. Ročenka výkonových ukazatelů obsahuje například informace o:</w:t>
            </w:r>
          </w:p>
          <w:p w:rsidR="008908BA" w:rsidRPr="00025B12" w:rsidRDefault="008908BA" w:rsidP="008908BA">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w:t>
            </w:r>
            <w:r w:rsidRPr="00025B12">
              <w:rPr>
                <w:rFonts w:ascii="Verdana" w:eastAsia="Times New Roman" w:hAnsi="Verdana"/>
                <w:sz w:val="20"/>
                <w:szCs w:val="20"/>
                <w:lang w:eastAsia="cs-CZ"/>
              </w:rPr>
              <w:tab/>
              <w:t>počtech žáků, nově přijatých a absolventů v ostatních (ne denních) formách vzdělávání na středních školách podle různých hledisek (kraj, zřizovatel, věková struktura, druh vzdělávání, obor vzdělávání, pohlaví)</w:t>
            </w:r>
          </w:p>
          <w:p w:rsidR="008908BA" w:rsidRPr="00025B12" w:rsidRDefault="008908BA" w:rsidP="008908BA">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w:t>
            </w:r>
            <w:r w:rsidRPr="00025B12">
              <w:rPr>
                <w:rFonts w:ascii="Verdana" w:eastAsia="Times New Roman" w:hAnsi="Verdana"/>
                <w:sz w:val="20"/>
                <w:szCs w:val="20"/>
                <w:lang w:eastAsia="cs-CZ"/>
              </w:rPr>
              <w:tab/>
              <w:t>účastnících a absolventech rekvalifikačního studia na školách podle různých hledisek (věku, pohlaví, kraje, zřizovatele, oboru vzdělání)</w:t>
            </w:r>
          </w:p>
          <w:p w:rsidR="008908BA" w:rsidRPr="00025B12" w:rsidRDefault="008908BA" w:rsidP="008908BA">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w:t>
            </w:r>
            <w:r w:rsidRPr="00025B12">
              <w:rPr>
                <w:rFonts w:ascii="Verdana" w:eastAsia="Times New Roman" w:hAnsi="Verdana"/>
                <w:sz w:val="20"/>
                <w:szCs w:val="20"/>
                <w:lang w:eastAsia="cs-CZ"/>
              </w:rPr>
              <w:tab/>
              <w:t>počtech studentů, nově přijatých a absolventů VOŠ v ostatních (ne denních) formách vzdělávání podle různých hledisek (kraj, pohlaví, obor vzdělávání, věková struktura)</w:t>
            </w:r>
          </w:p>
          <w:p w:rsidR="008908BA" w:rsidRPr="00025B12" w:rsidRDefault="008908BA" w:rsidP="008908BA">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w:t>
            </w:r>
            <w:r w:rsidRPr="00025B12">
              <w:rPr>
                <w:rFonts w:ascii="Verdana" w:eastAsia="Times New Roman" w:hAnsi="Verdana"/>
                <w:sz w:val="20"/>
                <w:szCs w:val="20"/>
                <w:lang w:eastAsia="cs-CZ"/>
              </w:rPr>
              <w:tab/>
              <w:t>přijímacím řízení na VOŠ v ostatních formách vzdělávání</w:t>
            </w:r>
          </w:p>
          <w:p w:rsidR="008908BA" w:rsidRPr="00025B12" w:rsidRDefault="008908BA" w:rsidP="008908BA">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w:t>
            </w:r>
            <w:r w:rsidRPr="00025B12">
              <w:rPr>
                <w:rFonts w:ascii="Verdana" w:eastAsia="Times New Roman" w:hAnsi="Verdana"/>
                <w:sz w:val="20"/>
                <w:szCs w:val="20"/>
                <w:lang w:eastAsia="cs-CZ"/>
              </w:rPr>
              <w:tab/>
              <w:t xml:space="preserve">počtech poprvé zapsaných, studentů a absolventů VŠ v distančním a kombinovaném studiu bakalářského, magisterského, navazujícího magisterského a doktorského studia podle různých hledisek (jednotlivé VŠ, podle pohlaví, oboru studia) </w:t>
            </w:r>
          </w:p>
          <w:p w:rsidR="008908BA" w:rsidRPr="00025B12" w:rsidRDefault="008908BA" w:rsidP="008908BA">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w:t>
            </w:r>
            <w:r w:rsidRPr="00025B12">
              <w:rPr>
                <w:rFonts w:ascii="Verdana" w:eastAsia="Times New Roman" w:hAnsi="Verdana"/>
                <w:sz w:val="20"/>
                <w:szCs w:val="20"/>
                <w:lang w:eastAsia="cs-CZ"/>
              </w:rPr>
              <w:tab/>
              <w:t>věkové struktuře studentů a absolventů VŠ</w:t>
            </w:r>
          </w:p>
          <w:p w:rsidR="008908BA" w:rsidRPr="00025B12" w:rsidRDefault="008908BA" w:rsidP="008908BA">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w:t>
            </w:r>
            <w:r w:rsidRPr="00025B12">
              <w:rPr>
                <w:rFonts w:ascii="Verdana" w:eastAsia="Times New Roman" w:hAnsi="Verdana"/>
                <w:sz w:val="20"/>
                <w:szCs w:val="20"/>
                <w:lang w:eastAsia="cs-CZ"/>
              </w:rPr>
              <w:tab/>
              <w:t>přijímacím řízení do distančních a kombinovaných forem VŠ studia</w:t>
            </w:r>
          </w:p>
          <w:p w:rsidR="008908BA" w:rsidRPr="00025B12" w:rsidRDefault="008908BA" w:rsidP="008908BA">
            <w:pPr>
              <w:spacing w:after="12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w:t>
            </w:r>
            <w:r w:rsidRPr="00025B12">
              <w:rPr>
                <w:rFonts w:ascii="Verdana" w:eastAsia="Times New Roman" w:hAnsi="Verdana"/>
                <w:sz w:val="20"/>
                <w:szCs w:val="20"/>
                <w:lang w:eastAsia="cs-CZ"/>
              </w:rPr>
              <w:tab/>
              <w:t>počtech studentů a absolventů v programech celoživotních vzdělávání na VŠ</w:t>
            </w:r>
          </w:p>
        </w:tc>
      </w:tr>
      <w:tr w:rsidR="008908BA" w:rsidRPr="00025B12" w:rsidTr="00622E67">
        <w:trPr>
          <w:jc w:val="center"/>
        </w:trPr>
        <w:tc>
          <w:tcPr>
            <w:tcW w:w="2518" w:type="dxa"/>
            <w:shd w:val="clear" w:color="auto" w:fill="663399"/>
          </w:tcPr>
          <w:p w:rsidR="008908BA" w:rsidRPr="00025B12" w:rsidRDefault="008908BA"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lastRenderedPageBreak/>
              <w:t>Zdroj:</w:t>
            </w:r>
          </w:p>
        </w:tc>
        <w:tc>
          <w:tcPr>
            <w:tcW w:w="6770" w:type="dxa"/>
          </w:tcPr>
          <w:p w:rsidR="008908BA" w:rsidRPr="00025B12" w:rsidRDefault="008908BA" w:rsidP="00622E67">
            <w:pPr>
              <w:spacing w:after="60" w:line="264" w:lineRule="auto"/>
              <w:jc w:val="both"/>
              <w:rPr>
                <w:rFonts w:ascii="Verdana" w:hAnsi="Verdana"/>
                <w:sz w:val="20"/>
                <w:szCs w:val="20"/>
              </w:rPr>
            </w:pPr>
            <w:r w:rsidRPr="00025B12">
              <w:rPr>
                <w:rFonts w:ascii="Verdana" w:hAnsi="Verdana"/>
                <w:sz w:val="20"/>
                <w:szCs w:val="20"/>
              </w:rPr>
              <w:t xml:space="preserve">ÚIV: Ročenky školství - </w:t>
            </w:r>
            <w:hyperlink r:id="rId42" w:history="1">
              <w:r w:rsidRPr="00025B12">
                <w:rPr>
                  <w:rStyle w:val="Hypertextovodkaz"/>
                  <w:rFonts w:ascii="Verdana" w:hAnsi="Verdana"/>
                  <w:sz w:val="20"/>
                  <w:szCs w:val="20"/>
                </w:rPr>
                <w:t>http://www.uiv.cz/clanek/512/1857</w:t>
              </w:r>
            </w:hyperlink>
          </w:p>
          <w:p w:rsidR="008908BA" w:rsidRPr="00025B12" w:rsidRDefault="008908BA" w:rsidP="00622E67">
            <w:pPr>
              <w:spacing w:after="60" w:line="264" w:lineRule="auto"/>
              <w:jc w:val="both"/>
              <w:rPr>
                <w:rFonts w:ascii="Verdana" w:hAnsi="Verdana"/>
                <w:sz w:val="20"/>
                <w:szCs w:val="20"/>
              </w:rPr>
            </w:pPr>
            <w:r w:rsidRPr="00025B12">
              <w:rPr>
                <w:rFonts w:ascii="Verdana" w:hAnsi="Verdana"/>
                <w:sz w:val="20"/>
                <w:szCs w:val="20"/>
              </w:rPr>
              <w:t xml:space="preserve">ÚIV: Školská statistika: </w:t>
            </w:r>
            <w:hyperlink r:id="rId43" w:history="1">
              <w:r w:rsidRPr="00025B12">
                <w:rPr>
                  <w:rStyle w:val="Hypertextovodkaz"/>
                  <w:rFonts w:ascii="Verdana" w:hAnsi="Verdana"/>
                  <w:sz w:val="20"/>
                  <w:szCs w:val="20"/>
                </w:rPr>
                <w:t>http://www.uiv.cz/clanek/389/1801</w:t>
              </w:r>
            </w:hyperlink>
          </w:p>
          <w:p w:rsidR="008908BA" w:rsidRPr="00025B12" w:rsidRDefault="008908BA" w:rsidP="008908BA">
            <w:pPr>
              <w:spacing w:after="60" w:line="264" w:lineRule="auto"/>
              <w:jc w:val="both"/>
            </w:pPr>
            <w:r w:rsidRPr="00025B12">
              <w:rPr>
                <w:rFonts w:ascii="Verdana" w:hAnsi="Verdana"/>
                <w:sz w:val="20"/>
                <w:szCs w:val="20"/>
              </w:rPr>
              <w:t xml:space="preserve">ÚIV: Sběr dat: </w:t>
            </w:r>
            <w:hyperlink r:id="rId44" w:history="1">
              <w:r w:rsidRPr="00025B12">
                <w:rPr>
                  <w:rStyle w:val="Hypertextovodkaz"/>
                  <w:rFonts w:ascii="Verdana" w:hAnsi="Verdana"/>
                  <w:sz w:val="20"/>
                  <w:szCs w:val="20"/>
                </w:rPr>
                <w:t>http://www.uiv.cz/clanek/95/362</w:t>
              </w:r>
            </w:hyperlink>
          </w:p>
        </w:tc>
      </w:tr>
    </w:tbl>
    <w:p w:rsidR="008908BA" w:rsidRPr="00025B12" w:rsidRDefault="008908BA" w:rsidP="00953A33">
      <w:pPr>
        <w:spacing w:after="60" w:line="264" w:lineRule="auto"/>
        <w:ind w:left="360"/>
        <w:jc w:val="both"/>
        <w:rPr>
          <w:rFonts w:ascii="Verdana" w:eastAsia="Times New Roman" w:hAnsi="Verdana"/>
          <w:b/>
          <w:sz w:val="24"/>
          <w:szCs w:val="24"/>
          <w:lang w:eastAsia="cs-CZ"/>
        </w:rPr>
      </w:pPr>
    </w:p>
    <w:p w:rsidR="001F75A4" w:rsidRPr="00025B12" w:rsidRDefault="001F75A4" w:rsidP="00953A33">
      <w:pPr>
        <w:spacing w:after="60" w:line="264" w:lineRule="auto"/>
        <w:ind w:left="360"/>
        <w:jc w:val="both"/>
        <w:rPr>
          <w:rFonts w:ascii="Verdana" w:eastAsia="Times New Roman" w:hAnsi="Verdana"/>
          <w:b/>
          <w:sz w:val="24"/>
          <w:szCs w:val="24"/>
          <w:lang w:eastAsia="cs-CZ"/>
        </w:rPr>
      </w:pPr>
      <w:r w:rsidRPr="00025B12">
        <w:rPr>
          <w:rFonts w:ascii="Verdana" w:eastAsia="Times New Roman" w:hAnsi="Verdana"/>
          <w:b/>
          <w:sz w:val="24"/>
          <w:szCs w:val="24"/>
          <w:lang w:eastAsia="cs-CZ"/>
        </w:rPr>
        <w:t>Informační systém služeb zaměstnanosti</w:t>
      </w:r>
    </w:p>
    <w:bookmarkEnd w:id="157"/>
    <w:p w:rsidR="00CE3094" w:rsidRPr="00025B12" w:rsidRDefault="00CE3094" w:rsidP="001F75A4">
      <w:pPr>
        <w:spacing w:after="120" w:line="264" w:lineRule="auto"/>
        <w:ind w:left="426"/>
        <w:jc w:val="both"/>
        <w:rPr>
          <w:rFonts w:ascii="Verdana" w:eastAsia="Times New Roman" w:hAnsi="Verdana"/>
          <w:sz w:val="20"/>
          <w:szCs w:val="20"/>
          <w:lang w:eastAsia="cs-C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CE3094" w:rsidRPr="00025B12" w:rsidTr="00622E67">
        <w:trPr>
          <w:jc w:val="center"/>
        </w:trPr>
        <w:tc>
          <w:tcPr>
            <w:tcW w:w="2518" w:type="dxa"/>
            <w:shd w:val="clear" w:color="auto" w:fill="663399"/>
          </w:tcPr>
          <w:p w:rsidR="00CE3094" w:rsidRPr="00025B12" w:rsidRDefault="00CE3094"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CE3094" w:rsidRPr="00025B12" w:rsidRDefault="00CE3094"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OK systém pro MPSV a úřady práce</w:t>
            </w:r>
          </w:p>
        </w:tc>
      </w:tr>
      <w:tr w:rsidR="00CE3094" w:rsidRPr="00025B12" w:rsidTr="00622E67">
        <w:trPr>
          <w:jc w:val="center"/>
        </w:trPr>
        <w:tc>
          <w:tcPr>
            <w:tcW w:w="2518" w:type="dxa"/>
            <w:shd w:val="clear" w:color="auto" w:fill="663399"/>
          </w:tcPr>
          <w:p w:rsidR="00CE3094" w:rsidRPr="00025B12" w:rsidRDefault="00CE3094"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Cílová populace:</w:t>
            </w:r>
          </w:p>
        </w:tc>
        <w:tc>
          <w:tcPr>
            <w:tcW w:w="6770" w:type="dxa"/>
            <w:shd w:val="clear" w:color="auto" w:fill="663399"/>
          </w:tcPr>
          <w:p w:rsidR="00CE3094" w:rsidRPr="00025B12" w:rsidRDefault="00CE3094"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Systém služeb zaměstnanosti</w:t>
            </w:r>
          </w:p>
        </w:tc>
      </w:tr>
      <w:tr w:rsidR="00CE3094" w:rsidRPr="00025B12" w:rsidTr="00622E67">
        <w:trPr>
          <w:jc w:val="center"/>
        </w:trPr>
        <w:tc>
          <w:tcPr>
            <w:tcW w:w="2518" w:type="dxa"/>
            <w:shd w:val="clear" w:color="auto" w:fill="663399"/>
          </w:tcPr>
          <w:p w:rsidR="00CE3094" w:rsidRPr="00025B12" w:rsidRDefault="00CE3094"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CE3094" w:rsidRPr="00025B12" w:rsidRDefault="00CE3094"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Průběžně – výstupy měsíční, čtvrtletní, roční</w:t>
            </w:r>
          </w:p>
        </w:tc>
      </w:tr>
      <w:tr w:rsidR="00CE3094" w:rsidRPr="00025B12" w:rsidTr="00622E67">
        <w:trPr>
          <w:jc w:val="center"/>
        </w:trPr>
        <w:tc>
          <w:tcPr>
            <w:tcW w:w="2518" w:type="dxa"/>
            <w:shd w:val="clear" w:color="auto" w:fill="663399"/>
          </w:tcPr>
          <w:p w:rsidR="00CE3094" w:rsidRPr="00025B12" w:rsidRDefault="00CE3094"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CE3094" w:rsidRPr="00025B12" w:rsidRDefault="00CE3094"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Celá ČR, členění dle krajů a okresů</w:t>
            </w:r>
          </w:p>
        </w:tc>
      </w:tr>
      <w:tr w:rsidR="00CE3094" w:rsidRPr="00025B12" w:rsidTr="00622E67">
        <w:trPr>
          <w:jc w:val="center"/>
        </w:trPr>
        <w:tc>
          <w:tcPr>
            <w:tcW w:w="9288" w:type="dxa"/>
            <w:gridSpan w:val="2"/>
          </w:tcPr>
          <w:p w:rsidR="00CE3094" w:rsidRPr="00025B12" w:rsidRDefault="00CE3094" w:rsidP="00622E67">
            <w:pPr>
              <w:jc w:val="both"/>
              <w:rPr>
                <w:rFonts w:ascii="Verdana" w:eastAsia="Times New Roman" w:hAnsi="Verdana"/>
                <w:sz w:val="20"/>
                <w:szCs w:val="20"/>
                <w:lang w:eastAsia="cs-CZ"/>
              </w:rPr>
            </w:pPr>
            <w:r w:rsidRPr="00025B12">
              <w:rPr>
                <w:rFonts w:ascii="Verdana" w:eastAsia="Times New Roman" w:hAnsi="Verdana"/>
                <w:sz w:val="20"/>
                <w:szCs w:val="20"/>
                <w:lang w:eastAsia="cs-CZ"/>
              </w:rPr>
              <w:t>Význam pro monitoring dalšího vzdělávání:</w:t>
            </w:r>
          </w:p>
          <w:p w:rsidR="00CE3094" w:rsidRPr="00025B12" w:rsidRDefault="00CE3094" w:rsidP="00CE3094">
            <w:pPr>
              <w:spacing w:after="120" w:line="264" w:lineRule="auto"/>
              <w:ind w:left="426"/>
              <w:jc w:val="both"/>
              <w:rPr>
                <w:rFonts w:ascii="Verdana" w:hAnsi="Verdana" w:cs="Helvetica"/>
                <w:sz w:val="20"/>
                <w:szCs w:val="20"/>
              </w:rPr>
            </w:pPr>
            <w:r w:rsidRPr="00025B12">
              <w:rPr>
                <w:rFonts w:ascii="Verdana" w:eastAsia="Times New Roman" w:hAnsi="Verdana"/>
                <w:sz w:val="20"/>
                <w:szCs w:val="20"/>
                <w:lang w:eastAsia="cs-CZ"/>
              </w:rPr>
              <w:lastRenderedPageBreak/>
              <w:t xml:space="preserve">Informační systém služeb zaměstnanosti </w:t>
            </w:r>
            <w:r w:rsidRPr="00025B12">
              <w:rPr>
                <w:rFonts w:ascii="Verdana" w:hAnsi="Verdana" w:cs="Helvetica"/>
                <w:sz w:val="20"/>
                <w:szCs w:val="20"/>
              </w:rPr>
              <w:t>je provozován a využíván Správou služeb zaměstnanosti Ministerstva práce a sociálních věcí (MPSV) v Praze, na Úřadě práce a jeho pobočkách. Je založen na programovém základě systému OK práce. Tento systém shromažďuje údaje z úřadů práce, mezi nimi i informace o nástrojích aktivní politiky zaměstnanosti, ze kterých se k dalšímu vzdělávání vztahují rekvalifikace, školení zaměstnanců, zapracování zaměstnanců.</w:t>
            </w:r>
          </w:p>
          <w:p w:rsidR="00CE3094" w:rsidRPr="00025B12" w:rsidRDefault="00CE3094" w:rsidP="00CE3094">
            <w:pPr>
              <w:spacing w:after="120" w:line="264" w:lineRule="auto"/>
              <w:ind w:left="426"/>
              <w:jc w:val="both"/>
              <w:rPr>
                <w:rFonts w:ascii="Verdana" w:hAnsi="Verdana" w:cs="Helvetica"/>
                <w:sz w:val="20"/>
                <w:szCs w:val="20"/>
              </w:rPr>
            </w:pPr>
            <w:r w:rsidRPr="00025B12">
              <w:rPr>
                <w:rFonts w:ascii="Verdana" w:hAnsi="Verdana" w:cs="Helvetica"/>
                <w:sz w:val="20"/>
                <w:szCs w:val="20"/>
              </w:rPr>
              <w:t>Vybrané údaje ze systému jsou publikovány na Integrovaném portále MPSV (</w:t>
            </w:r>
            <w:hyperlink r:id="rId45" w:history="1">
              <w:r w:rsidRPr="00025B12">
                <w:rPr>
                  <w:rFonts w:ascii="Verdana" w:hAnsi="Verdana" w:cs="Helvetica"/>
                  <w:sz w:val="20"/>
                  <w:szCs w:val="18"/>
                  <w:u w:val="single"/>
                </w:rPr>
                <w:t>http://portal.mpsv.cz/</w:t>
              </w:r>
            </w:hyperlink>
            <w:r w:rsidRPr="00025B12">
              <w:rPr>
                <w:rFonts w:ascii="Verdana" w:hAnsi="Verdana" w:cs="Helvetica"/>
                <w:sz w:val="20"/>
                <w:szCs w:val="20"/>
              </w:rPr>
              <w:t xml:space="preserve"> ). Jsou zde k dispozici konkrétně statistické informace o:</w:t>
            </w:r>
          </w:p>
          <w:p w:rsidR="00CE3094" w:rsidRPr="00025B12" w:rsidRDefault="00CE3094" w:rsidP="00CE3094">
            <w:pPr>
              <w:numPr>
                <w:ilvl w:val="1"/>
                <w:numId w:val="28"/>
              </w:numPr>
              <w:spacing w:after="120" w:line="264" w:lineRule="auto"/>
              <w:ind w:left="851"/>
              <w:jc w:val="both"/>
              <w:rPr>
                <w:rFonts w:ascii="Verdana" w:eastAsia="Times New Roman" w:hAnsi="Verdana"/>
                <w:b/>
                <w:sz w:val="20"/>
                <w:szCs w:val="20"/>
                <w:lang w:eastAsia="cs-CZ"/>
              </w:rPr>
            </w:pPr>
            <w:r w:rsidRPr="00025B12">
              <w:rPr>
                <w:rFonts w:ascii="Verdana" w:eastAsia="Times New Roman" w:hAnsi="Verdana"/>
                <w:b/>
                <w:sz w:val="20"/>
                <w:szCs w:val="20"/>
                <w:lang w:eastAsia="cs-CZ"/>
              </w:rPr>
              <w:t xml:space="preserve">Rekvalifikaci </w:t>
            </w:r>
            <w:r w:rsidRPr="00025B12">
              <w:rPr>
                <w:rFonts w:ascii="Verdana" w:eastAsia="Times New Roman" w:hAnsi="Verdana"/>
                <w:sz w:val="20"/>
                <w:szCs w:val="20"/>
                <w:lang w:eastAsia="cs-CZ"/>
              </w:rPr>
              <w:t>– uchazeči v rekvalifikaci, po rekvalifikaci a zaměstnanecké rekvalifikace (čtvrtletní údaje o počtech osob a jejich průchodu systémem rekvalifikací)</w:t>
            </w:r>
          </w:p>
          <w:p w:rsidR="00CE3094" w:rsidRPr="00025B12" w:rsidRDefault="00CE3094" w:rsidP="00CE3094">
            <w:pPr>
              <w:numPr>
                <w:ilvl w:val="1"/>
                <w:numId w:val="28"/>
              </w:numPr>
              <w:spacing w:after="120" w:line="264" w:lineRule="auto"/>
              <w:ind w:left="851"/>
              <w:jc w:val="both"/>
              <w:rPr>
                <w:rFonts w:ascii="Verdana" w:eastAsia="Times New Roman" w:hAnsi="Verdana"/>
                <w:sz w:val="20"/>
                <w:szCs w:val="20"/>
                <w:lang w:eastAsia="cs-CZ"/>
              </w:rPr>
            </w:pPr>
            <w:r w:rsidRPr="00025B12">
              <w:rPr>
                <w:rFonts w:ascii="Verdana" w:eastAsia="Times New Roman" w:hAnsi="Verdana"/>
                <w:b/>
                <w:sz w:val="20"/>
                <w:szCs w:val="20"/>
                <w:lang w:eastAsia="cs-CZ"/>
              </w:rPr>
              <w:t xml:space="preserve">Výdajích na státní politiku zaměstnanosti </w:t>
            </w:r>
            <w:r w:rsidRPr="00025B12">
              <w:rPr>
                <w:rFonts w:ascii="Verdana" w:eastAsia="Times New Roman" w:hAnsi="Verdana"/>
                <w:sz w:val="20"/>
                <w:szCs w:val="20"/>
                <w:lang w:eastAsia="cs-CZ"/>
              </w:rPr>
              <w:t>– časové řady výdajů na jednotlivé složky státní politiky zaměstnanosti, které mohou sloužit jako základ pro monitoring financování určitých segmentů dalšího vzdělávání</w:t>
            </w:r>
          </w:p>
          <w:p w:rsidR="00CE3094" w:rsidRPr="00025B12" w:rsidRDefault="00CE3094" w:rsidP="00622E67">
            <w:pPr>
              <w:numPr>
                <w:ilvl w:val="1"/>
                <w:numId w:val="28"/>
              </w:numPr>
              <w:spacing w:after="120" w:line="264" w:lineRule="auto"/>
              <w:ind w:left="851"/>
              <w:jc w:val="both"/>
              <w:rPr>
                <w:rFonts w:ascii="Verdana" w:eastAsia="Times New Roman" w:hAnsi="Verdana"/>
                <w:sz w:val="20"/>
                <w:szCs w:val="20"/>
                <w:lang w:eastAsia="cs-CZ"/>
              </w:rPr>
            </w:pPr>
            <w:r w:rsidRPr="00025B12">
              <w:rPr>
                <w:rFonts w:ascii="Verdana" w:eastAsia="Times New Roman" w:hAnsi="Verdana"/>
                <w:b/>
                <w:sz w:val="20"/>
                <w:szCs w:val="20"/>
                <w:lang w:eastAsia="cs-CZ"/>
              </w:rPr>
              <w:t>Nezaměstnaných a volných pracovních místech a ukazatelích nezaměstnanosti v různé struktuře</w:t>
            </w:r>
          </w:p>
        </w:tc>
      </w:tr>
      <w:tr w:rsidR="00CE3094" w:rsidRPr="00025B12" w:rsidTr="00622E67">
        <w:trPr>
          <w:jc w:val="center"/>
        </w:trPr>
        <w:tc>
          <w:tcPr>
            <w:tcW w:w="2518" w:type="dxa"/>
            <w:shd w:val="clear" w:color="auto" w:fill="663399"/>
          </w:tcPr>
          <w:p w:rsidR="00CE3094" w:rsidRPr="00025B12" w:rsidRDefault="00CE3094"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lastRenderedPageBreak/>
              <w:t>Zdroj:</w:t>
            </w:r>
          </w:p>
        </w:tc>
        <w:tc>
          <w:tcPr>
            <w:tcW w:w="6770" w:type="dxa"/>
          </w:tcPr>
          <w:p w:rsidR="00CE3094" w:rsidRPr="00025B12" w:rsidRDefault="00665F1D" w:rsidP="00CE3094">
            <w:pPr>
              <w:spacing w:after="60" w:line="264" w:lineRule="auto"/>
              <w:jc w:val="both"/>
            </w:pPr>
            <w:hyperlink r:id="rId46" w:history="1">
              <w:r w:rsidR="00CE3094" w:rsidRPr="00025B12">
                <w:rPr>
                  <w:rFonts w:ascii="Verdana" w:hAnsi="Verdana" w:cs="Helvetica"/>
                  <w:sz w:val="20"/>
                  <w:szCs w:val="18"/>
                  <w:u w:val="single"/>
                </w:rPr>
                <w:t>http://portal.mpsv.cz/</w:t>
              </w:r>
            </w:hyperlink>
            <w:r w:rsidR="0006704E" w:rsidRPr="00025B12">
              <w:t xml:space="preserve">  </w:t>
            </w:r>
          </w:p>
        </w:tc>
      </w:tr>
    </w:tbl>
    <w:p w:rsidR="00CE3094" w:rsidRPr="00025B12" w:rsidRDefault="00CE3094" w:rsidP="001F75A4">
      <w:pPr>
        <w:spacing w:after="120" w:line="264" w:lineRule="auto"/>
        <w:ind w:left="426"/>
        <w:jc w:val="both"/>
        <w:rPr>
          <w:rFonts w:ascii="Verdana" w:eastAsia="Times New Roman" w:hAnsi="Verdana"/>
          <w:sz w:val="20"/>
          <w:szCs w:val="20"/>
          <w:lang w:eastAsia="cs-CZ"/>
        </w:rPr>
      </w:pPr>
    </w:p>
    <w:p w:rsidR="001F75A4" w:rsidRPr="00025B12" w:rsidRDefault="001F75A4" w:rsidP="00953A33">
      <w:pPr>
        <w:spacing w:after="60" w:line="264" w:lineRule="auto"/>
        <w:ind w:left="360"/>
        <w:jc w:val="both"/>
        <w:rPr>
          <w:rFonts w:ascii="Verdana" w:eastAsia="Times New Roman" w:hAnsi="Verdana"/>
          <w:b/>
          <w:sz w:val="24"/>
          <w:szCs w:val="24"/>
          <w:lang w:eastAsia="cs-CZ"/>
        </w:rPr>
      </w:pPr>
      <w:bookmarkStart w:id="158" w:name="ISPV"/>
      <w:bookmarkStart w:id="159" w:name="_Ref273626370"/>
      <w:bookmarkEnd w:id="158"/>
      <w:r w:rsidRPr="00025B12">
        <w:rPr>
          <w:rFonts w:ascii="Verdana" w:eastAsia="Times New Roman" w:hAnsi="Verdana"/>
          <w:b/>
          <w:sz w:val="24"/>
          <w:szCs w:val="24"/>
          <w:lang w:eastAsia="cs-CZ"/>
        </w:rPr>
        <w:t>Informační systém o průměrném výdělku (ISPV)</w:t>
      </w:r>
      <w:bookmarkEnd w:id="159"/>
      <w:r w:rsidR="000C6631" w:rsidRPr="00025B12">
        <w:rPr>
          <w:rFonts w:ascii="Verdana" w:eastAsia="Times New Roman" w:hAnsi="Verdana"/>
          <w:b/>
          <w:sz w:val="24"/>
          <w:szCs w:val="24"/>
          <w:lang w:eastAsia="cs-CZ"/>
        </w:rPr>
        <w:t xml:space="preserve"> a Structure of Earnings Survey</w:t>
      </w:r>
    </w:p>
    <w:p w:rsidR="00F84AEC" w:rsidRPr="00025B12" w:rsidRDefault="00F84AEC" w:rsidP="001F75A4">
      <w:pPr>
        <w:ind w:left="425"/>
        <w:jc w:val="both"/>
        <w:rPr>
          <w:rFonts w:ascii="Verdana" w:eastAsia="Times New Roman" w:hAnsi="Verdana"/>
          <w:sz w:val="20"/>
          <w:szCs w:val="20"/>
          <w:lang w:eastAsia="cs-C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F84AEC" w:rsidRPr="00025B12" w:rsidTr="00F84AEC">
        <w:trPr>
          <w:jc w:val="center"/>
        </w:trPr>
        <w:tc>
          <w:tcPr>
            <w:tcW w:w="2518" w:type="dxa"/>
            <w:shd w:val="clear" w:color="auto" w:fill="663399"/>
          </w:tcPr>
          <w:p w:rsidR="00F84AEC" w:rsidRPr="00025B12" w:rsidRDefault="00F84AEC" w:rsidP="00F84AEC">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F84AEC" w:rsidRPr="00025B12" w:rsidRDefault="00F84AEC" w:rsidP="00F84AEC">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Trexima pro MPSV</w:t>
            </w:r>
          </w:p>
        </w:tc>
      </w:tr>
      <w:tr w:rsidR="00F84AEC" w:rsidRPr="00025B12" w:rsidTr="00F84AEC">
        <w:trPr>
          <w:jc w:val="center"/>
        </w:trPr>
        <w:tc>
          <w:tcPr>
            <w:tcW w:w="2518" w:type="dxa"/>
            <w:shd w:val="clear" w:color="auto" w:fill="663399"/>
          </w:tcPr>
          <w:p w:rsidR="00F84AEC" w:rsidRPr="00025B12" w:rsidRDefault="00F84AEC" w:rsidP="00F84AEC">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Cílová populace:</w:t>
            </w:r>
          </w:p>
        </w:tc>
        <w:tc>
          <w:tcPr>
            <w:tcW w:w="6770" w:type="dxa"/>
            <w:shd w:val="clear" w:color="auto" w:fill="663399"/>
          </w:tcPr>
          <w:p w:rsidR="00F84AEC" w:rsidRPr="00025B12" w:rsidRDefault="00A42192" w:rsidP="00A42192">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Ekonomické subjekty s 10 a více zaměstnanci, od roku 2011 i pod 10 zaměstnanců</w:t>
            </w:r>
          </w:p>
        </w:tc>
      </w:tr>
      <w:tr w:rsidR="00F84AEC" w:rsidRPr="00025B12" w:rsidTr="00F84AEC">
        <w:trPr>
          <w:jc w:val="center"/>
        </w:trPr>
        <w:tc>
          <w:tcPr>
            <w:tcW w:w="2518" w:type="dxa"/>
            <w:shd w:val="clear" w:color="auto" w:fill="663399"/>
          </w:tcPr>
          <w:p w:rsidR="00F84AEC" w:rsidRPr="00025B12" w:rsidRDefault="00F84AEC" w:rsidP="00F84AEC">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F84AEC" w:rsidRPr="00025B12" w:rsidRDefault="00890700" w:rsidP="00A42192">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 xml:space="preserve">ČR – </w:t>
            </w:r>
            <w:r w:rsidR="00A42192" w:rsidRPr="00025B12">
              <w:rPr>
                <w:rFonts w:ascii="Verdana" w:eastAsia="Times New Roman" w:hAnsi="Verdana"/>
                <w:color w:val="FFFFFF"/>
                <w:sz w:val="20"/>
                <w:szCs w:val="20"/>
                <w:lang w:eastAsia="cs-CZ"/>
              </w:rPr>
              <w:t>mzdová</w:t>
            </w:r>
            <w:r w:rsidRPr="00025B12">
              <w:rPr>
                <w:rFonts w:ascii="Verdana" w:eastAsia="Times New Roman" w:hAnsi="Verdana"/>
                <w:color w:val="FFFFFF"/>
                <w:sz w:val="20"/>
                <w:szCs w:val="20"/>
                <w:lang w:eastAsia="cs-CZ"/>
              </w:rPr>
              <w:t xml:space="preserve"> sféra čtvrtletně, </w:t>
            </w:r>
            <w:r w:rsidR="00A42192" w:rsidRPr="00025B12">
              <w:rPr>
                <w:rFonts w:ascii="Verdana" w:eastAsia="Times New Roman" w:hAnsi="Verdana"/>
                <w:color w:val="FFFFFF"/>
                <w:sz w:val="20"/>
                <w:szCs w:val="20"/>
                <w:lang w:eastAsia="cs-CZ"/>
              </w:rPr>
              <w:t>platová</w:t>
            </w:r>
            <w:r w:rsidRPr="00025B12">
              <w:rPr>
                <w:rFonts w:ascii="Verdana" w:eastAsia="Times New Roman" w:hAnsi="Verdana"/>
                <w:color w:val="FFFFFF"/>
                <w:sz w:val="20"/>
                <w:szCs w:val="20"/>
                <w:lang w:eastAsia="cs-CZ"/>
              </w:rPr>
              <w:t xml:space="preserve"> pololetně</w:t>
            </w:r>
            <w:r w:rsidR="00A42192" w:rsidRPr="00025B12">
              <w:rPr>
                <w:rFonts w:ascii="Verdana" w:eastAsia="Times New Roman" w:hAnsi="Verdana"/>
                <w:color w:val="FFFFFF"/>
                <w:sz w:val="20"/>
                <w:szCs w:val="20"/>
                <w:lang w:eastAsia="cs-CZ"/>
              </w:rPr>
              <w:t xml:space="preserve"> (od roku 2011 čtvrtletně)</w:t>
            </w:r>
            <w:r w:rsidRPr="00025B12">
              <w:rPr>
                <w:rFonts w:ascii="Verdana" w:eastAsia="Times New Roman" w:hAnsi="Verdana"/>
                <w:color w:val="FFFFFF"/>
                <w:sz w:val="20"/>
                <w:szCs w:val="20"/>
                <w:lang w:eastAsia="cs-CZ"/>
              </w:rPr>
              <w:t>, mezinárodně 4 roky</w:t>
            </w:r>
          </w:p>
        </w:tc>
      </w:tr>
      <w:tr w:rsidR="00F84AEC" w:rsidRPr="00025B12" w:rsidTr="00F84AEC">
        <w:trPr>
          <w:jc w:val="center"/>
        </w:trPr>
        <w:tc>
          <w:tcPr>
            <w:tcW w:w="2518" w:type="dxa"/>
            <w:shd w:val="clear" w:color="auto" w:fill="663399"/>
          </w:tcPr>
          <w:p w:rsidR="00F84AEC" w:rsidRPr="00025B12" w:rsidRDefault="00F84AEC" w:rsidP="00F84AEC">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Rozsah vzorku:</w:t>
            </w:r>
          </w:p>
        </w:tc>
        <w:tc>
          <w:tcPr>
            <w:tcW w:w="6770" w:type="dxa"/>
            <w:shd w:val="clear" w:color="auto" w:fill="663399"/>
          </w:tcPr>
          <w:p w:rsidR="00F84AEC" w:rsidRPr="00025B12" w:rsidRDefault="00A42192" w:rsidP="00A42192">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Mzdová sféra: Subjekty s 250 a více zaměstnanci plošně, subjekty s 10 až 249 zaměstnanci výběrově, Platová sféra plošně</w:t>
            </w:r>
            <w:r w:rsidR="00A85003" w:rsidRPr="00025B12">
              <w:rPr>
                <w:rFonts w:ascii="Verdana" w:eastAsia="Times New Roman" w:hAnsi="Verdana"/>
                <w:color w:val="FFFFFF"/>
                <w:sz w:val="20"/>
                <w:szCs w:val="20"/>
                <w:lang w:eastAsia="cs-CZ"/>
              </w:rPr>
              <w:t>; celkem pokrývá 3 700 tis. zaměstnanců</w:t>
            </w:r>
          </w:p>
        </w:tc>
      </w:tr>
      <w:tr w:rsidR="00F84AEC" w:rsidRPr="00025B12" w:rsidTr="00F84AEC">
        <w:trPr>
          <w:jc w:val="center"/>
        </w:trPr>
        <w:tc>
          <w:tcPr>
            <w:tcW w:w="2518" w:type="dxa"/>
            <w:shd w:val="clear" w:color="auto" w:fill="663399"/>
          </w:tcPr>
          <w:p w:rsidR="00F84AEC" w:rsidRPr="00025B12" w:rsidRDefault="00F84AEC" w:rsidP="00F84AEC">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F84AEC" w:rsidRPr="00025B12" w:rsidRDefault="00890700" w:rsidP="00890700">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Národní a m</w:t>
            </w:r>
            <w:r w:rsidR="00F84AEC" w:rsidRPr="00025B12">
              <w:rPr>
                <w:rFonts w:ascii="Verdana" w:eastAsia="Times New Roman" w:hAnsi="Verdana"/>
                <w:color w:val="FFFFFF"/>
                <w:sz w:val="20"/>
                <w:szCs w:val="20"/>
                <w:lang w:eastAsia="cs-CZ"/>
              </w:rPr>
              <w:t>ezinárodní (</w:t>
            </w:r>
            <w:r w:rsidRPr="00025B12">
              <w:rPr>
                <w:rFonts w:ascii="Verdana" w:eastAsia="Times New Roman" w:hAnsi="Verdana"/>
                <w:color w:val="FFFFFF"/>
                <w:sz w:val="20"/>
                <w:szCs w:val="20"/>
                <w:lang w:eastAsia="cs-CZ"/>
              </w:rPr>
              <w:t>Eurostat</w:t>
            </w:r>
            <w:r w:rsidR="00F84AEC" w:rsidRPr="00025B12">
              <w:rPr>
                <w:rFonts w:ascii="Verdana" w:eastAsia="Times New Roman" w:hAnsi="Verdana"/>
                <w:color w:val="FFFFFF"/>
                <w:sz w:val="20"/>
                <w:szCs w:val="20"/>
                <w:lang w:eastAsia="cs-CZ"/>
              </w:rPr>
              <w:t>)</w:t>
            </w:r>
          </w:p>
        </w:tc>
      </w:tr>
      <w:tr w:rsidR="00F84AEC" w:rsidRPr="00025B12" w:rsidTr="00F84AEC">
        <w:trPr>
          <w:jc w:val="center"/>
        </w:trPr>
        <w:tc>
          <w:tcPr>
            <w:tcW w:w="9288" w:type="dxa"/>
            <w:gridSpan w:val="2"/>
          </w:tcPr>
          <w:p w:rsidR="00F84AEC" w:rsidRPr="00025B12" w:rsidRDefault="00F84AEC" w:rsidP="005B05B2">
            <w:pPr>
              <w:jc w:val="both"/>
              <w:rPr>
                <w:rFonts w:ascii="Verdana" w:eastAsia="Times New Roman" w:hAnsi="Verdana"/>
                <w:sz w:val="20"/>
                <w:szCs w:val="20"/>
                <w:lang w:eastAsia="cs-CZ"/>
              </w:rPr>
            </w:pPr>
            <w:r w:rsidRPr="00025B12">
              <w:rPr>
                <w:rFonts w:ascii="Verdana" w:eastAsia="Times New Roman" w:hAnsi="Verdana"/>
                <w:sz w:val="20"/>
                <w:szCs w:val="20"/>
                <w:lang w:eastAsia="cs-CZ"/>
              </w:rPr>
              <w:t>Význam pro monitoring dalšího vzdělávání:</w:t>
            </w:r>
          </w:p>
          <w:p w:rsidR="00A26617" w:rsidRPr="00025B12" w:rsidRDefault="00054D88" w:rsidP="005B05B2">
            <w:pPr>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Jedná se o systém pravidelného monitorování výdělkové úrovně a pracovní doby zaměstnanců v ČR formou statistického šetření. Sledovanými ukazateli výdělkové úrovně jsou hodinový výdělek a hrubá měsíční mzda (plat). Specifikem šetření na rozdíl od jiných informací o mzdách je, že přináší informace o mzdách jednotlivých zaměstnanců podle různých kritérii, např. podle profesí a vzdělání. </w:t>
            </w:r>
          </w:p>
          <w:p w:rsidR="00A26617" w:rsidRPr="00025B12" w:rsidRDefault="003D5AC2" w:rsidP="005B05B2">
            <w:pPr>
              <w:autoSpaceDE w:val="0"/>
              <w:autoSpaceDN w:val="0"/>
              <w:adjustRightInd w:val="0"/>
              <w:jc w:val="both"/>
              <w:rPr>
                <w:rFonts w:ascii="Verdana" w:eastAsia="Times New Roman" w:hAnsi="Verdana"/>
                <w:sz w:val="20"/>
                <w:szCs w:val="20"/>
                <w:lang w:eastAsia="cs-CZ"/>
              </w:rPr>
            </w:pPr>
            <w:r w:rsidRPr="00025B12">
              <w:rPr>
                <w:rFonts w:ascii="Verdana" w:eastAsia="Times New Roman" w:hAnsi="Verdana"/>
                <w:sz w:val="20"/>
                <w:szCs w:val="20"/>
                <w:lang w:eastAsia="cs-CZ"/>
              </w:rPr>
              <w:t>Šetření je pod názvem </w:t>
            </w:r>
            <w:hyperlink r:id="rId47" w:history="1">
              <w:r w:rsidRPr="00025B12">
                <w:rPr>
                  <w:rFonts w:ascii="Verdana" w:eastAsia="Times New Roman" w:hAnsi="Verdana"/>
                  <w:sz w:val="20"/>
                  <w:szCs w:val="20"/>
                  <w:lang w:eastAsia="cs-CZ"/>
                </w:rPr>
                <w:t>Čtvrtletní šetření o průměrném výdělku</w:t>
              </w:r>
            </w:hyperlink>
            <w:r w:rsidRPr="00025B12">
              <w:rPr>
                <w:rFonts w:ascii="Verdana" w:eastAsia="Times New Roman" w:hAnsi="Verdana"/>
                <w:sz w:val="20"/>
                <w:szCs w:val="20"/>
                <w:lang w:eastAsia="cs-CZ"/>
              </w:rPr>
              <w:t xml:space="preserve"> zařazeno do programu statistických zjišťování, vyhlášených Českým statistickým úřadem (ČSÚ). Český statistický úřad provádí na </w:t>
            </w:r>
            <w:r w:rsidR="00E26E2D" w:rsidRPr="00025B12">
              <w:rPr>
                <w:rFonts w:ascii="Verdana" w:eastAsia="Times New Roman" w:hAnsi="Verdana"/>
                <w:sz w:val="20"/>
                <w:szCs w:val="20"/>
                <w:lang w:eastAsia="cs-CZ"/>
              </w:rPr>
              <w:t>výsledcích</w:t>
            </w:r>
            <w:r w:rsidRPr="00025B12">
              <w:rPr>
                <w:rFonts w:ascii="Verdana" w:eastAsia="Times New Roman" w:hAnsi="Verdana"/>
                <w:sz w:val="20"/>
                <w:szCs w:val="20"/>
                <w:lang w:eastAsia="cs-CZ"/>
              </w:rPr>
              <w:t xml:space="preserve"> další úpravy – např. dopočty výsledků pro celou ekonomiku a spojování výsledků za </w:t>
            </w:r>
            <w:r w:rsidR="00A42192" w:rsidRPr="00025B12">
              <w:rPr>
                <w:rFonts w:ascii="Verdana" w:eastAsia="Times New Roman" w:hAnsi="Verdana"/>
                <w:sz w:val="20"/>
                <w:szCs w:val="20"/>
                <w:lang w:eastAsia="cs-CZ"/>
              </w:rPr>
              <w:t>mzdovou a platovou</w:t>
            </w:r>
            <w:r w:rsidRPr="00025B12">
              <w:rPr>
                <w:rFonts w:ascii="Verdana" w:eastAsia="Times New Roman" w:hAnsi="Verdana"/>
                <w:sz w:val="20"/>
                <w:szCs w:val="20"/>
                <w:lang w:eastAsia="cs-CZ"/>
              </w:rPr>
              <w:t xml:space="preserve"> sféru.</w:t>
            </w:r>
            <w:r w:rsidR="00A26617" w:rsidRPr="00025B12">
              <w:rPr>
                <w:rFonts w:ascii="Verdana" w:eastAsia="Times New Roman" w:hAnsi="Verdana"/>
                <w:sz w:val="20"/>
                <w:szCs w:val="20"/>
                <w:lang w:eastAsia="cs-CZ"/>
              </w:rPr>
              <w:t xml:space="preserve"> V letech 1998 - 2003 bylo jako jediný zdroj informací využíváno čtvrtletní šetření Informační systém o průměrném výdělku MPSV (ISPV). Od roku 2004 slouží ISPV </w:t>
            </w:r>
            <w:r w:rsidR="005B05B2" w:rsidRPr="00025B12">
              <w:rPr>
                <w:rFonts w:ascii="Verdana" w:eastAsia="Times New Roman" w:hAnsi="Verdana"/>
                <w:sz w:val="20"/>
                <w:szCs w:val="20"/>
                <w:lang w:eastAsia="cs-CZ"/>
              </w:rPr>
              <w:t xml:space="preserve">přímo </w:t>
            </w:r>
            <w:r w:rsidR="00A26617" w:rsidRPr="00025B12">
              <w:rPr>
                <w:rFonts w:ascii="Verdana" w:eastAsia="Times New Roman" w:hAnsi="Verdana"/>
                <w:sz w:val="20"/>
                <w:szCs w:val="20"/>
                <w:lang w:eastAsia="cs-CZ"/>
              </w:rPr>
              <w:t xml:space="preserve">pouze pro zjišťování údajů o subjektech „mzdové sféry“. </w:t>
            </w:r>
            <w:r w:rsidR="005B05B2" w:rsidRPr="00025B12">
              <w:rPr>
                <w:rFonts w:ascii="Verdana" w:eastAsia="Times New Roman" w:hAnsi="Verdana"/>
                <w:sz w:val="20"/>
                <w:szCs w:val="20"/>
                <w:lang w:eastAsia="cs-CZ"/>
              </w:rPr>
              <w:t xml:space="preserve">Zdrojem dat platového statistického šetření ISPV pro nepodnikatelskou sféru je Informační systém o platech, který je provozován </w:t>
            </w:r>
            <w:r w:rsidR="005B05B2" w:rsidRPr="00025B12">
              <w:rPr>
                <w:rFonts w:ascii="Verdana" w:eastAsia="Times New Roman" w:hAnsi="Verdana"/>
                <w:sz w:val="20"/>
                <w:szCs w:val="20"/>
                <w:lang w:eastAsia="cs-CZ"/>
              </w:rPr>
              <w:lastRenderedPageBreak/>
              <w:t>Ministerstvem financí. Informační systém o platech pokrývá celou nepodnikatelskou sféru a do ISPV předává údaje jako plošné šetření.</w:t>
            </w:r>
            <w:r w:rsidR="00E26E2D" w:rsidRPr="00025B12">
              <w:rPr>
                <w:rFonts w:ascii="Verdana" w:eastAsia="Times New Roman" w:hAnsi="Verdana"/>
                <w:sz w:val="20"/>
                <w:szCs w:val="20"/>
                <w:lang w:eastAsia="cs-CZ"/>
              </w:rPr>
              <w:t xml:space="preserve"> </w:t>
            </w:r>
            <w:r w:rsidR="00A26617" w:rsidRPr="00025B12">
              <w:rPr>
                <w:rFonts w:ascii="Verdana" w:eastAsia="Times New Roman" w:hAnsi="Verdana"/>
                <w:sz w:val="20"/>
                <w:szCs w:val="20"/>
                <w:lang w:eastAsia="cs-CZ"/>
              </w:rPr>
              <w:t>Databáze údajů ISPV a ISP jsou scelené do jedné, která slouží pro výpočet výsledků za celou národní ekonomiku. Je však nutné vzít v úvahu, že ISPV – na rozdíl od ISP – standardně nezahrnuje data za jednotky s méně než deseti zaměstnanci</w:t>
            </w:r>
            <w:r w:rsidR="005B05B2" w:rsidRPr="00025B12">
              <w:rPr>
                <w:rFonts w:ascii="Verdana" w:eastAsia="Times New Roman" w:hAnsi="Verdana"/>
                <w:sz w:val="20"/>
                <w:szCs w:val="20"/>
                <w:lang w:eastAsia="cs-CZ"/>
              </w:rPr>
              <w:t xml:space="preserve"> (od roku 2011 již obsahuje i menší subjekty)</w:t>
            </w:r>
            <w:r w:rsidR="00A26617" w:rsidRPr="00025B12">
              <w:rPr>
                <w:rFonts w:ascii="Verdana" w:eastAsia="Times New Roman" w:hAnsi="Verdana"/>
                <w:sz w:val="20"/>
                <w:szCs w:val="20"/>
                <w:lang w:eastAsia="cs-CZ"/>
              </w:rPr>
              <w:t>.</w:t>
            </w:r>
          </w:p>
          <w:p w:rsidR="00F84AEC" w:rsidRPr="00025B12" w:rsidRDefault="00A26617" w:rsidP="005B05B2">
            <w:pPr>
              <w:jc w:val="both"/>
              <w:rPr>
                <w:rFonts w:ascii="Verdana" w:eastAsia="Times New Roman" w:hAnsi="Verdana"/>
                <w:sz w:val="20"/>
                <w:szCs w:val="20"/>
                <w:lang w:eastAsia="cs-CZ"/>
              </w:rPr>
            </w:pPr>
            <w:r w:rsidRPr="00025B12">
              <w:rPr>
                <w:rFonts w:ascii="Verdana" w:eastAsia="Times New Roman" w:hAnsi="Verdana"/>
                <w:sz w:val="20"/>
                <w:szCs w:val="20"/>
                <w:lang w:eastAsia="cs-CZ"/>
              </w:rPr>
              <w:t>Šetření metodicky vychází a je obsahově harmonizováno se strukturálním šetřením EU „Structure of Earnings Survey“, jednou za 4 roky vstupují údaje do tohoto šetření.</w:t>
            </w:r>
          </w:p>
        </w:tc>
      </w:tr>
      <w:tr w:rsidR="00F84AEC" w:rsidRPr="00025B12" w:rsidTr="00F84AEC">
        <w:trPr>
          <w:jc w:val="center"/>
        </w:trPr>
        <w:tc>
          <w:tcPr>
            <w:tcW w:w="2518" w:type="dxa"/>
            <w:shd w:val="clear" w:color="auto" w:fill="663399"/>
          </w:tcPr>
          <w:p w:rsidR="00F84AEC" w:rsidRPr="00025B12" w:rsidRDefault="00F84AEC" w:rsidP="00F84AEC">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lastRenderedPageBreak/>
              <w:t>Dotazník:</w:t>
            </w:r>
          </w:p>
        </w:tc>
        <w:tc>
          <w:tcPr>
            <w:tcW w:w="6770" w:type="dxa"/>
          </w:tcPr>
          <w:p w:rsidR="00F84AEC" w:rsidRPr="00025B12" w:rsidRDefault="00665F1D" w:rsidP="00F84AEC">
            <w:pPr>
              <w:spacing w:after="60" w:line="264" w:lineRule="auto"/>
              <w:jc w:val="both"/>
              <w:rPr>
                <w:rFonts w:ascii="Verdana" w:eastAsia="Times New Roman" w:hAnsi="Verdana"/>
                <w:sz w:val="18"/>
                <w:szCs w:val="18"/>
                <w:lang w:eastAsia="cs-CZ"/>
              </w:rPr>
            </w:pPr>
            <w:hyperlink r:id="rId48" w:history="1">
              <w:r w:rsidR="00A42192" w:rsidRPr="00025B12">
                <w:rPr>
                  <w:rStyle w:val="Hypertextovodkaz"/>
                  <w:rFonts w:ascii="Verdana" w:hAnsi="Verdana"/>
                  <w:sz w:val="18"/>
                  <w:szCs w:val="18"/>
                </w:rPr>
                <w:t>http://www.ispv.cz/cz/Pro-respondenty-setreni/Prirucka.aspx</w:t>
              </w:r>
            </w:hyperlink>
          </w:p>
        </w:tc>
      </w:tr>
      <w:tr w:rsidR="00F84AEC" w:rsidRPr="00025B12" w:rsidTr="00F84AEC">
        <w:trPr>
          <w:jc w:val="center"/>
        </w:trPr>
        <w:tc>
          <w:tcPr>
            <w:tcW w:w="2518" w:type="dxa"/>
            <w:shd w:val="clear" w:color="auto" w:fill="663399"/>
          </w:tcPr>
          <w:p w:rsidR="00F84AEC" w:rsidRPr="00025B12" w:rsidRDefault="00F84AEC" w:rsidP="00F84AEC">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Zdroj:</w:t>
            </w:r>
          </w:p>
        </w:tc>
        <w:tc>
          <w:tcPr>
            <w:tcW w:w="6770" w:type="dxa"/>
          </w:tcPr>
          <w:p w:rsidR="003D5AC2" w:rsidRPr="00025B12" w:rsidRDefault="003D5AC2" w:rsidP="00F84AEC">
            <w:pPr>
              <w:spacing w:after="60" w:line="264" w:lineRule="auto"/>
              <w:jc w:val="both"/>
              <w:rPr>
                <w:rFonts w:ascii="Verdana" w:hAnsi="Verdana"/>
                <w:sz w:val="18"/>
                <w:szCs w:val="18"/>
              </w:rPr>
            </w:pPr>
            <w:r w:rsidRPr="00025B12">
              <w:rPr>
                <w:rFonts w:ascii="Verdana" w:eastAsia="Times New Roman" w:hAnsi="Verdana"/>
                <w:sz w:val="18"/>
                <w:szCs w:val="18"/>
                <w:lang w:eastAsia="cs-CZ"/>
              </w:rPr>
              <w:t xml:space="preserve">ISPV: </w:t>
            </w:r>
            <w:hyperlink r:id="rId49" w:history="1">
              <w:r w:rsidRPr="00025B12">
                <w:rPr>
                  <w:rStyle w:val="Hypertextovodkaz"/>
                  <w:rFonts w:ascii="Verdana" w:hAnsi="Verdana"/>
                  <w:sz w:val="18"/>
                  <w:szCs w:val="18"/>
                </w:rPr>
                <w:t>http://www.ispv.cz/cz/</w:t>
              </w:r>
            </w:hyperlink>
          </w:p>
          <w:p w:rsidR="003D5AC2" w:rsidRPr="00025B12" w:rsidRDefault="003D5AC2" w:rsidP="00F84AEC">
            <w:pPr>
              <w:spacing w:after="60" w:line="264" w:lineRule="auto"/>
              <w:jc w:val="both"/>
              <w:rPr>
                <w:rFonts w:ascii="Verdana" w:hAnsi="Verdana"/>
                <w:sz w:val="18"/>
                <w:szCs w:val="18"/>
              </w:rPr>
            </w:pPr>
            <w:r w:rsidRPr="00025B12">
              <w:rPr>
                <w:rFonts w:ascii="Verdana" w:hAnsi="Verdana"/>
                <w:sz w:val="18"/>
                <w:szCs w:val="18"/>
              </w:rPr>
              <w:t xml:space="preserve">ČSÚ: </w:t>
            </w:r>
            <w:hyperlink r:id="rId50" w:history="1">
              <w:r w:rsidRPr="00025B12">
                <w:rPr>
                  <w:rStyle w:val="Hypertextovodkaz"/>
                  <w:rFonts w:ascii="Verdana" w:hAnsi="Verdana"/>
                  <w:sz w:val="18"/>
                  <w:szCs w:val="18"/>
                </w:rPr>
                <w:t>http://www.czso.cz/csu/2011edicniplan.nsf/p/3109-11</w:t>
              </w:r>
            </w:hyperlink>
          </w:p>
          <w:p w:rsidR="003D5AC2" w:rsidRPr="00025B12" w:rsidRDefault="003D5AC2" w:rsidP="00F84AEC">
            <w:pPr>
              <w:spacing w:after="60" w:line="264" w:lineRule="auto"/>
              <w:jc w:val="both"/>
              <w:rPr>
                <w:rFonts w:ascii="Verdana" w:hAnsi="Verdana"/>
                <w:sz w:val="18"/>
                <w:szCs w:val="18"/>
              </w:rPr>
            </w:pPr>
          </w:p>
        </w:tc>
      </w:tr>
    </w:tbl>
    <w:p w:rsidR="00F84AEC" w:rsidRPr="00025B12" w:rsidRDefault="00F84AEC" w:rsidP="001F75A4">
      <w:pPr>
        <w:ind w:left="425"/>
        <w:jc w:val="both"/>
        <w:rPr>
          <w:rFonts w:ascii="Verdana" w:eastAsia="Times New Roman" w:hAnsi="Verdana"/>
          <w:sz w:val="20"/>
          <w:szCs w:val="20"/>
          <w:lang w:eastAsia="cs-CZ"/>
        </w:rPr>
      </w:pPr>
    </w:p>
    <w:p w:rsidR="00491A0A" w:rsidRPr="00025B12" w:rsidRDefault="00870706" w:rsidP="000C6631">
      <w:pPr>
        <w:spacing w:before="240" w:after="0" w:line="240" w:lineRule="auto"/>
        <w:contextualSpacing/>
        <w:jc w:val="both"/>
        <w:outlineLvl w:val="0"/>
        <w:rPr>
          <w:rFonts w:ascii="Verdana" w:eastAsia="Times New Roman" w:hAnsi="Verdana"/>
          <w:b/>
          <w:sz w:val="24"/>
          <w:szCs w:val="24"/>
          <w:lang w:eastAsia="cs-CZ"/>
        </w:rPr>
      </w:pPr>
      <w:bookmarkStart w:id="160" w:name="CIS"/>
      <w:r w:rsidRPr="00025B12">
        <w:rPr>
          <w:rFonts w:ascii="Verdana" w:eastAsia="Times New Roman" w:hAnsi="Verdana"/>
          <w:b/>
          <w:sz w:val="24"/>
          <w:szCs w:val="24"/>
          <w:lang w:eastAsia="cs-CZ"/>
        </w:rPr>
        <w:t>Community innovation survey</w:t>
      </w:r>
    </w:p>
    <w:p w:rsidR="00870706" w:rsidRPr="00025B12" w:rsidRDefault="00870706" w:rsidP="00491A0A">
      <w:pPr>
        <w:spacing w:before="240" w:after="0" w:line="240" w:lineRule="auto"/>
        <w:contextualSpacing/>
        <w:jc w:val="both"/>
        <w:rPr>
          <w:rFonts w:ascii="Verdana" w:eastAsia="Times New Roman" w:hAnsi="Verdana"/>
          <w:b/>
          <w:sz w:val="24"/>
          <w:szCs w:val="24"/>
          <w:lang w:eastAsia="cs-C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D77694" w:rsidRPr="00025B12" w:rsidTr="00993EE5">
        <w:trPr>
          <w:jc w:val="center"/>
        </w:trPr>
        <w:tc>
          <w:tcPr>
            <w:tcW w:w="2518" w:type="dxa"/>
            <w:shd w:val="clear" w:color="auto" w:fill="663399"/>
          </w:tcPr>
          <w:p w:rsidR="00D77694" w:rsidRPr="00025B12" w:rsidRDefault="00D77694" w:rsidP="00993EE5">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D77694" w:rsidRPr="00025B12" w:rsidRDefault="00993EE5" w:rsidP="00993EE5">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ČSÚ/Eurostat</w:t>
            </w:r>
          </w:p>
        </w:tc>
      </w:tr>
      <w:tr w:rsidR="00D77694" w:rsidRPr="00025B12" w:rsidTr="00993EE5">
        <w:trPr>
          <w:jc w:val="center"/>
        </w:trPr>
        <w:tc>
          <w:tcPr>
            <w:tcW w:w="2518" w:type="dxa"/>
            <w:shd w:val="clear" w:color="auto" w:fill="663399"/>
          </w:tcPr>
          <w:p w:rsidR="00D77694" w:rsidRPr="00025B12" w:rsidRDefault="00D77694" w:rsidP="00993EE5">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Cílová populace:</w:t>
            </w:r>
          </w:p>
        </w:tc>
        <w:tc>
          <w:tcPr>
            <w:tcW w:w="6770" w:type="dxa"/>
            <w:shd w:val="clear" w:color="auto" w:fill="663399"/>
          </w:tcPr>
          <w:p w:rsidR="00D77694" w:rsidRPr="00025B12" w:rsidRDefault="00DD71C4" w:rsidP="00DD71C4">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Ekonomické subjekty</w:t>
            </w:r>
            <w:r w:rsidR="00993EE5" w:rsidRPr="00025B12">
              <w:rPr>
                <w:rFonts w:ascii="Verdana" w:eastAsia="Times New Roman" w:hAnsi="Verdana"/>
                <w:color w:val="FFFFFF"/>
                <w:sz w:val="20"/>
                <w:szCs w:val="20"/>
                <w:lang w:eastAsia="cs-CZ"/>
              </w:rPr>
              <w:t xml:space="preserve"> ve vybraných odvětvích</w:t>
            </w:r>
            <w:r w:rsidRPr="00025B12">
              <w:rPr>
                <w:rFonts w:ascii="Verdana" w:eastAsia="Times New Roman" w:hAnsi="Verdana"/>
                <w:color w:val="FFFFFF"/>
                <w:sz w:val="20"/>
                <w:szCs w:val="20"/>
                <w:lang w:eastAsia="cs-CZ"/>
              </w:rPr>
              <w:t xml:space="preserve"> – CZ-NACE B-N s 10 a více zaměstnanci; vzhledem ke změně klasifikace rozšíření vzorku od roku 2010</w:t>
            </w:r>
          </w:p>
        </w:tc>
      </w:tr>
      <w:tr w:rsidR="00D77694" w:rsidRPr="00025B12" w:rsidTr="00993EE5">
        <w:trPr>
          <w:jc w:val="center"/>
        </w:trPr>
        <w:tc>
          <w:tcPr>
            <w:tcW w:w="2518" w:type="dxa"/>
            <w:shd w:val="clear" w:color="auto" w:fill="663399"/>
          </w:tcPr>
          <w:p w:rsidR="00D77694" w:rsidRPr="00025B12" w:rsidRDefault="00D77694" w:rsidP="00993EE5">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D77694" w:rsidRPr="00025B12" w:rsidRDefault="00133969" w:rsidP="00993EE5">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Každé 4 roky plné šetření, každé 2 roky jeho redukovaná varianta</w:t>
            </w:r>
          </w:p>
        </w:tc>
      </w:tr>
      <w:tr w:rsidR="00D77694" w:rsidRPr="00025B12" w:rsidTr="00993EE5">
        <w:trPr>
          <w:jc w:val="center"/>
        </w:trPr>
        <w:tc>
          <w:tcPr>
            <w:tcW w:w="2518" w:type="dxa"/>
            <w:shd w:val="clear" w:color="auto" w:fill="663399"/>
          </w:tcPr>
          <w:p w:rsidR="00D77694" w:rsidRPr="00025B12" w:rsidRDefault="00D77694" w:rsidP="00993EE5">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Rozsah vzorku:</w:t>
            </w:r>
          </w:p>
        </w:tc>
        <w:tc>
          <w:tcPr>
            <w:tcW w:w="6770" w:type="dxa"/>
            <w:shd w:val="clear" w:color="auto" w:fill="663399"/>
          </w:tcPr>
          <w:p w:rsidR="00D77694" w:rsidRPr="00025B12" w:rsidRDefault="00DD71C4" w:rsidP="00993EE5">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6 800 subjektů</w:t>
            </w:r>
          </w:p>
        </w:tc>
      </w:tr>
      <w:tr w:rsidR="00D77694" w:rsidRPr="00025B12" w:rsidTr="00993EE5">
        <w:trPr>
          <w:jc w:val="center"/>
        </w:trPr>
        <w:tc>
          <w:tcPr>
            <w:tcW w:w="2518" w:type="dxa"/>
            <w:shd w:val="clear" w:color="auto" w:fill="663399"/>
          </w:tcPr>
          <w:p w:rsidR="00D77694" w:rsidRPr="00025B12" w:rsidRDefault="00D77694" w:rsidP="00993EE5">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D77694" w:rsidRPr="00025B12" w:rsidRDefault="00993EE5" w:rsidP="00993EE5">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mezinárodní</w:t>
            </w:r>
          </w:p>
        </w:tc>
      </w:tr>
      <w:tr w:rsidR="00D77694" w:rsidRPr="00025B12" w:rsidTr="00993EE5">
        <w:trPr>
          <w:jc w:val="center"/>
        </w:trPr>
        <w:tc>
          <w:tcPr>
            <w:tcW w:w="9288" w:type="dxa"/>
            <w:gridSpan w:val="2"/>
          </w:tcPr>
          <w:p w:rsidR="00D77694" w:rsidRPr="00025B12" w:rsidRDefault="00D77694" w:rsidP="00993EE5">
            <w:pPr>
              <w:jc w:val="both"/>
              <w:rPr>
                <w:rFonts w:ascii="Verdana" w:eastAsia="Times New Roman" w:hAnsi="Verdana"/>
                <w:sz w:val="20"/>
                <w:szCs w:val="20"/>
                <w:lang w:eastAsia="cs-CZ"/>
              </w:rPr>
            </w:pPr>
            <w:r w:rsidRPr="00025B12">
              <w:rPr>
                <w:rFonts w:ascii="Verdana" w:eastAsia="Times New Roman" w:hAnsi="Verdana"/>
                <w:sz w:val="20"/>
                <w:szCs w:val="20"/>
                <w:lang w:eastAsia="cs-CZ"/>
              </w:rPr>
              <w:t>Význam pro monitoring dalšího vzdělávání:</w:t>
            </w:r>
          </w:p>
          <w:p w:rsidR="00993EE5" w:rsidRPr="00025B12" w:rsidRDefault="00993EE5" w:rsidP="00993EE5">
            <w:pPr>
              <w:spacing w:before="240" w:after="0" w:line="240" w:lineRule="auto"/>
              <w:contextualSpacing/>
              <w:jc w:val="both"/>
              <w:rPr>
                <w:rFonts w:ascii="Verdana" w:hAnsi="Verdana"/>
                <w:b/>
                <w:sz w:val="20"/>
                <w:szCs w:val="20"/>
              </w:rPr>
            </w:pPr>
            <w:r w:rsidRPr="00025B12">
              <w:rPr>
                <w:rFonts w:ascii="Verdana" w:eastAsia="Times New Roman" w:hAnsi="Verdana"/>
                <w:sz w:val="20"/>
                <w:szCs w:val="20"/>
                <w:lang w:eastAsia="cs-CZ"/>
              </w:rPr>
              <w:t>Šetření je zaměřeno na inovace v podnicích a v souvislosti s nimi též na vzdělávání související s inovacemi. Inovace je v šetření od roku 2008 definována jako zavedení nového nebo významně vylepšeného produktu, procesu, organizační nebo marketingové metody v podniku.</w:t>
            </w:r>
            <w:r w:rsidRPr="00025B12">
              <w:rPr>
                <w:rFonts w:ascii="Verdana" w:hAnsi="Verdana"/>
                <w:b/>
                <w:sz w:val="20"/>
                <w:szCs w:val="20"/>
              </w:rPr>
              <w:t xml:space="preserve"> Metodicky vychází koncept inovací z Oslo manuálu, resp. jeho revize z roku 2005.</w:t>
            </w:r>
          </w:p>
          <w:p w:rsidR="00993EE5" w:rsidRPr="00025B12" w:rsidRDefault="00993EE5" w:rsidP="00993EE5">
            <w:pPr>
              <w:spacing w:before="240" w:after="0" w:line="240" w:lineRule="auto"/>
              <w:contextualSpacing/>
              <w:jc w:val="both"/>
              <w:rPr>
                <w:rFonts w:ascii="Verdana" w:hAnsi="Verdana"/>
                <w:sz w:val="20"/>
                <w:szCs w:val="20"/>
              </w:rPr>
            </w:pPr>
            <w:r w:rsidRPr="00025B12">
              <w:rPr>
                <w:rFonts w:ascii="Verdana" w:hAnsi="Verdana"/>
                <w:b/>
                <w:sz w:val="20"/>
                <w:szCs w:val="20"/>
              </w:rPr>
              <w:t>Výkaz TI 2010</w:t>
            </w:r>
            <w:r w:rsidRPr="00025B12">
              <w:rPr>
                <w:rFonts w:ascii="Verdana" w:hAnsi="Verdana"/>
                <w:sz w:val="20"/>
                <w:szCs w:val="20"/>
              </w:rPr>
              <w:t xml:space="preserve"> </w:t>
            </w:r>
            <w:r w:rsidRPr="00025B12">
              <w:rPr>
                <w:rFonts w:ascii="Verdana" w:hAnsi="Verdana"/>
                <w:b/>
                <w:sz w:val="20"/>
                <w:szCs w:val="20"/>
              </w:rPr>
              <w:t xml:space="preserve">– „Dotazník o inovacích v roce 2010“ (realizovaný v rámci celoevropské šetření Community innovation survey) </w:t>
            </w:r>
            <w:r w:rsidRPr="00025B12">
              <w:rPr>
                <w:rFonts w:ascii="Verdana" w:hAnsi="Verdana"/>
                <w:sz w:val="20"/>
                <w:szCs w:val="20"/>
              </w:rPr>
              <w:t>(DVOULETÁ PERIODICITA) v části „TA4 Inovační aktivity a s nimi spojené náklady (výdaje) týkající se produktové a procesní inovace“ obsahuje otázku „Zabýval se váš podnik během let 2008–2010 následujícími inovačními činnostmi?“ s variantou odpovědi „Školení: podnikové a externí vzdělávací programy pro zaměstnance speciálně zaměřené na vývoj a/nebo zavádění nových nebo podstatně zlepšen</w:t>
            </w:r>
            <w:r w:rsidR="00A26989" w:rsidRPr="00025B12">
              <w:rPr>
                <w:rFonts w:ascii="Verdana" w:hAnsi="Verdana"/>
                <w:sz w:val="20"/>
                <w:szCs w:val="20"/>
              </w:rPr>
              <w:t>ých produktů a procesů (ANO-NE).</w:t>
            </w:r>
          </w:p>
          <w:p w:rsidR="00D77694" w:rsidRPr="00025B12" w:rsidRDefault="00D77694" w:rsidP="00993EE5">
            <w:pPr>
              <w:jc w:val="both"/>
              <w:rPr>
                <w:rFonts w:ascii="Verdana" w:eastAsia="Times New Roman" w:hAnsi="Verdana"/>
                <w:sz w:val="20"/>
                <w:szCs w:val="20"/>
                <w:lang w:eastAsia="cs-CZ"/>
              </w:rPr>
            </w:pPr>
          </w:p>
        </w:tc>
      </w:tr>
      <w:tr w:rsidR="00D77694" w:rsidRPr="00025B12" w:rsidTr="00993EE5">
        <w:trPr>
          <w:jc w:val="center"/>
        </w:trPr>
        <w:tc>
          <w:tcPr>
            <w:tcW w:w="2518" w:type="dxa"/>
            <w:shd w:val="clear" w:color="auto" w:fill="663399"/>
          </w:tcPr>
          <w:p w:rsidR="00D77694" w:rsidRPr="00025B12" w:rsidRDefault="00D77694" w:rsidP="00993EE5">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Dotazník:</w:t>
            </w:r>
          </w:p>
        </w:tc>
        <w:tc>
          <w:tcPr>
            <w:tcW w:w="6770" w:type="dxa"/>
          </w:tcPr>
          <w:p w:rsidR="00D77694" w:rsidRPr="00025B12" w:rsidRDefault="00665F1D" w:rsidP="00993EE5">
            <w:pPr>
              <w:spacing w:after="60" w:line="264" w:lineRule="auto"/>
              <w:jc w:val="both"/>
              <w:rPr>
                <w:rFonts w:ascii="Verdana" w:eastAsia="Times New Roman" w:hAnsi="Verdana"/>
                <w:sz w:val="20"/>
                <w:szCs w:val="20"/>
                <w:lang w:eastAsia="cs-CZ"/>
              </w:rPr>
            </w:pPr>
            <w:hyperlink r:id="rId51" w:history="1">
              <w:r w:rsidR="002072A7" w:rsidRPr="00025B12">
                <w:rPr>
                  <w:rStyle w:val="Hypertextovodkaz"/>
                  <w:rFonts w:ascii="Verdana" w:hAnsi="Verdana"/>
                  <w:sz w:val="20"/>
                  <w:szCs w:val="20"/>
                </w:rPr>
                <w:t>http://apl.czso.cz/pll/vykazy/pdfsoub?xid=1621&amp;xtyp=V</w:t>
              </w:r>
            </w:hyperlink>
          </w:p>
        </w:tc>
      </w:tr>
      <w:tr w:rsidR="00D77694" w:rsidRPr="00025B12" w:rsidTr="00993EE5">
        <w:trPr>
          <w:jc w:val="center"/>
        </w:trPr>
        <w:tc>
          <w:tcPr>
            <w:tcW w:w="2518" w:type="dxa"/>
            <w:shd w:val="clear" w:color="auto" w:fill="663399"/>
          </w:tcPr>
          <w:p w:rsidR="00D77694" w:rsidRPr="00025B12" w:rsidRDefault="00D77694" w:rsidP="00993EE5">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Zdroj:</w:t>
            </w:r>
          </w:p>
        </w:tc>
        <w:tc>
          <w:tcPr>
            <w:tcW w:w="6770" w:type="dxa"/>
          </w:tcPr>
          <w:p w:rsidR="00D77694" w:rsidRPr="00025B12" w:rsidRDefault="00993EE5" w:rsidP="00993EE5">
            <w:pPr>
              <w:spacing w:after="60" w:line="264" w:lineRule="auto"/>
              <w:jc w:val="both"/>
              <w:rPr>
                <w:rFonts w:ascii="Verdana" w:hAnsi="Verdana"/>
                <w:sz w:val="20"/>
                <w:szCs w:val="20"/>
              </w:rPr>
            </w:pPr>
            <w:r w:rsidRPr="00025B12">
              <w:rPr>
                <w:rFonts w:ascii="Verdana" w:hAnsi="Verdana"/>
                <w:sz w:val="20"/>
                <w:szCs w:val="20"/>
              </w:rPr>
              <w:t xml:space="preserve">Eurostat: </w:t>
            </w:r>
            <w:hyperlink r:id="rId52" w:history="1">
              <w:r w:rsidRPr="00025B12">
                <w:rPr>
                  <w:rStyle w:val="Hypertextovodkaz"/>
                  <w:rFonts w:ascii="Verdana" w:hAnsi="Verdana"/>
                  <w:sz w:val="20"/>
                  <w:szCs w:val="20"/>
                </w:rPr>
                <w:t>http://epp.eurostat.ec.europa.eu/cache/ITY_SDDS/en/inn_esms.htm</w:t>
              </w:r>
            </w:hyperlink>
          </w:p>
          <w:p w:rsidR="00993EE5" w:rsidRPr="00025B12" w:rsidRDefault="00993EE5" w:rsidP="00993EE5">
            <w:pPr>
              <w:spacing w:after="60" w:line="264" w:lineRule="auto"/>
              <w:jc w:val="both"/>
              <w:rPr>
                <w:rStyle w:val="apple-style-span"/>
                <w:rFonts w:ascii="Verdana" w:hAnsi="Verdana"/>
                <w:color w:val="000000"/>
                <w:sz w:val="20"/>
                <w:szCs w:val="20"/>
              </w:rPr>
            </w:pPr>
            <w:r w:rsidRPr="00025B12">
              <w:rPr>
                <w:rFonts w:ascii="Verdana" w:hAnsi="Verdana"/>
                <w:sz w:val="20"/>
                <w:szCs w:val="20"/>
              </w:rPr>
              <w:t xml:space="preserve">Oslo manuál: </w:t>
            </w:r>
            <w:hyperlink r:id="rId53" w:tgtFrame="_blank" w:history="1">
              <w:r w:rsidRPr="00025B12">
                <w:rPr>
                  <w:rStyle w:val="Hypertextovodkaz"/>
                  <w:rFonts w:ascii="Verdana" w:hAnsi="Verdana"/>
                  <w:color w:val="0F4BA0"/>
                  <w:sz w:val="20"/>
                  <w:szCs w:val="20"/>
                </w:rPr>
                <w:t>Oslo Manual, 3rd edition, 2005</w:t>
              </w:r>
            </w:hyperlink>
          </w:p>
          <w:p w:rsidR="00993EE5" w:rsidRPr="00025B12" w:rsidRDefault="00DD71C4" w:rsidP="00993EE5">
            <w:pPr>
              <w:spacing w:after="60" w:line="264" w:lineRule="auto"/>
              <w:jc w:val="both"/>
              <w:rPr>
                <w:rFonts w:ascii="Verdana" w:hAnsi="Verdana"/>
                <w:sz w:val="20"/>
                <w:szCs w:val="20"/>
              </w:rPr>
            </w:pPr>
            <w:r w:rsidRPr="00025B12">
              <w:rPr>
                <w:rFonts w:ascii="Verdana" w:hAnsi="Verdana"/>
                <w:sz w:val="20"/>
                <w:szCs w:val="20"/>
              </w:rPr>
              <w:t xml:space="preserve">ČSÚ: </w:t>
            </w:r>
            <w:hyperlink r:id="rId54" w:history="1">
              <w:r w:rsidRPr="00025B12">
                <w:rPr>
                  <w:rStyle w:val="Hypertextovodkaz"/>
                  <w:rFonts w:ascii="Verdana" w:hAnsi="Verdana"/>
                  <w:sz w:val="20"/>
                  <w:szCs w:val="20"/>
                </w:rPr>
                <w:t>http://www.czso.cz/csu/redakce.nsf/i/statistika_inovaci</w:t>
              </w:r>
            </w:hyperlink>
          </w:p>
        </w:tc>
      </w:tr>
      <w:bookmarkEnd w:id="160"/>
    </w:tbl>
    <w:p w:rsidR="001F75A4" w:rsidRPr="00025B12" w:rsidRDefault="001F75A4" w:rsidP="008C6791">
      <w:pPr>
        <w:jc w:val="both"/>
        <w:rPr>
          <w:rFonts w:ascii="Verdana" w:hAnsi="Verdana"/>
          <w:b/>
          <w:sz w:val="20"/>
          <w:szCs w:val="20"/>
        </w:rPr>
      </w:pPr>
    </w:p>
    <w:p w:rsidR="0006704E" w:rsidRPr="00025B12" w:rsidRDefault="0006704E" w:rsidP="008C6791">
      <w:pPr>
        <w:jc w:val="both"/>
        <w:rPr>
          <w:rFonts w:ascii="Verdana" w:hAnsi="Verdana"/>
          <w:b/>
          <w:sz w:val="20"/>
          <w:szCs w:val="20"/>
        </w:rPr>
      </w:pPr>
    </w:p>
    <w:p w:rsidR="001F75A4" w:rsidRPr="00025B12" w:rsidRDefault="00870706" w:rsidP="000C6631">
      <w:pPr>
        <w:spacing w:before="240" w:after="0" w:line="240" w:lineRule="auto"/>
        <w:contextualSpacing/>
        <w:jc w:val="both"/>
        <w:outlineLvl w:val="0"/>
        <w:rPr>
          <w:rFonts w:ascii="Verdana" w:eastAsia="Times New Roman" w:hAnsi="Verdana"/>
          <w:b/>
          <w:sz w:val="24"/>
          <w:szCs w:val="24"/>
          <w:lang w:eastAsia="cs-CZ"/>
        </w:rPr>
      </w:pPr>
      <w:bookmarkStart w:id="161" w:name="LCS"/>
      <w:r w:rsidRPr="00025B12">
        <w:rPr>
          <w:rFonts w:ascii="Verdana" w:eastAsia="Times New Roman" w:hAnsi="Verdana"/>
          <w:b/>
          <w:sz w:val="24"/>
          <w:szCs w:val="24"/>
          <w:lang w:eastAsia="cs-CZ"/>
        </w:rPr>
        <w:lastRenderedPageBreak/>
        <w:t>Labour cost survey</w:t>
      </w:r>
      <w:r w:rsidR="00A26989" w:rsidRPr="00025B12">
        <w:rPr>
          <w:rFonts w:ascii="Verdana" w:eastAsia="Times New Roman" w:hAnsi="Verdana"/>
          <w:b/>
          <w:sz w:val="24"/>
          <w:szCs w:val="24"/>
          <w:lang w:eastAsia="cs-CZ"/>
        </w:rPr>
        <w:t xml:space="preserve"> (Úplné náklady práce)</w:t>
      </w:r>
    </w:p>
    <w:bookmarkEnd w:id="161"/>
    <w:p w:rsidR="00870706" w:rsidRPr="00025B12" w:rsidRDefault="00870706" w:rsidP="00870706">
      <w:pPr>
        <w:spacing w:before="240" w:after="0" w:line="240" w:lineRule="auto"/>
        <w:contextualSpacing/>
        <w:jc w:val="both"/>
        <w:rPr>
          <w:rFonts w:ascii="Verdana" w:eastAsia="Times New Roman" w:hAnsi="Verdana"/>
          <w:b/>
          <w:sz w:val="24"/>
          <w:szCs w:val="24"/>
          <w:lang w:eastAsia="cs-C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A26989" w:rsidRPr="00025B12" w:rsidTr="008455B6">
        <w:trPr>
          <w:jc w:val="center"/>
        </w:trPr>
        <w:tc>
          <w:tcPr>
            <w:tcW w:w="2518" w:type="dxa"/>
            <w:shd w:val="clear" w:color="auto" w:fill="663399"/>
          </w:tcPr>
          <w:p w:rsidR="00A26989" w:rsidRPr="00025B12" w:rsidRDefault="00A26989" w:rsidP="008455B6">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A26989" w:rsidRPr="00025B12" w:rsidRDefault="00A26989" w:rsidP="008455B6">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ČSÚ/Eurostat</w:t>
            </w:r>
          </w:p>
        </w:tc>
      </w:tr>
      <w:tr w:rsidR="00A26989" w:rsidRPr="00025B12" w:rsidTr="008455B6">
        <w:trPr>
          <w:jc w:val="center"/>
        </w:trPr>
        <w:tc>
          <w:tcPr>
            <w:tcW w:w="2518" w:type="dxa"/>
            <w:shd w:val="clear" w:color="auto" w:fill="663399"/>
          </w:tcPr>
          <w:p w:rsidR="00A26989" w:rsidRPr="00025B12" w:rsidRDefault="00A26989" w:rsidP="008455B6">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Cílová populace:</w:t>
            </w:r>
          </w:p>
        </w:tc>
        <w:tc>
          <w:tcPr>
            <w:tcW w:w="6770" w:type="dxa"/>
            <w:shd w:val="clear" w:color="auto" w:fill="663399"/>
          </w:tcPr>
          <w:p w:rsidR="00A26989" w:rsidRPr="00025B12" w:rsidRDefault="008455B6" w:rsidP="008455B6">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Ekonomické subjekty podnikatelské sféry zapsané do obchodního rejstříku, od r. 2009 jsou zahrnuty i údaje za fyzické osoby nezapsané do obchodního rejstříku bez ohledu na počet zaměstnanců, a ekonomické subjekty nepodnikatelské sféry, včetně rezortu Ministerstva obrany a Ministerstva vnitra.</w:t>
            </w:r>
          </w:p>
        </w:tc>
      </w:tr>
      <w:tr w:rsidR="00A26989" w:rsidRPr="00025B12" w:rsidTr="008455B6">
        <w:trPr>
          <w:jc w:val="center"/>
        </w:trPr>
        <w:tc>
          <w:tcPr>
            <w:tcW w:w="2518" w:type="dxa"/>
            <w:shd w:val="clear" w:color="auto" w:fill="663399"/>
          </w:tcPr>
          <w:p w:rsidR="00A26989" w:rsidRPr="00025B12" w:rsidRDefault="00A26989" w:rsidP="008455B6">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A26989" w:rsidRPr="00025B12" w:rsidRDefault="008455B6" w:rsidP="008455B6">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Roční, mezinárodně 4 roky.</w:t>
            </w:r>
          </w:p>
        </w:tc>
      </w:tr>
      <w:tr w:rsidR="00A26989" w:rsidRPr="00025B12" w:rsidTr="008455B6">
        <w:trPr>
          <w:jc w:val="center"/>
        </w:trPr>
        <w:tc>
          <w:tcPr>
            <w:tcW w:w="2518" w:type="dxa"/>
            <w:shd w:val="clear" w:color="auto" w:fill="663399"/>
          </w:tcPr>
          <w:p w:rsidR="00A26989" w:rsidRPr="00025B12" w:rsidRDefault="00A26989" w:rsidP="008455B6">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Rozsah vzorku:</w:t>
            </w:r>
          </w:p>
        </w:tc>
        <w:tc>
          <w:tcPr>
            <w:tcW w:w="6770" w:type="dxa"/>
            <w:shd w:val="clear" w:color="auto" w:fill="663399"/>
          </w:tcPr>
          <w:p w:rsidR="00A26989" w:rsidRPr="00025B12" w:rsidRDefault="008455B6" w:rsidP="008455B6">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U jednotek s 1 až 249 zaměstnanci bylo šetření výběrové a u jednotek s 250 a více zaměstnanci bylo šetření plošné.</w:t>
            </w:r>
          </w:p>
        </w:tc>
      </w:tr>
      <w:tr w:rsidR="00A26989" w:rsidRPr="00025B12" w:rsidTr="008455B6">
        <w:trPr>
          <w:jc w:val="center"/>
        </w:trPr>
        <w:tc>
          <w:tcPr>
            <w:tcW w:w="2518" w:type="dxa"/>
            <w:shd w:val="clear" w:color="auto" w:fill="663399"/>
          </w:tcPr>
          <w:p w:rsidR="00A26989" w:rsidRPr="00025B12" w:rsidRDefault="00A26989" w:rsidP="008455B6">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A26989" w:rsidRPr="00025B12" w:rsidRDefault="00A26989" w:rsidP="008455B6">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mezinárodní</w:t>
            </w:r>
          </w:p>
        </w:tc>
      </w:tr>
      <w:tr w:rsidR="00A26989" w:rsidRPr="00025B12" w:rsidTr="008455B6">
        <w:trPr>
          <w:jc w:val="center"/>
        </w:trPr>
        <w:tc>
          <w:tcPr>
            <w:tcW w:w="9288" w:type="dxa"/>
            <w:gridSpan w:val="2"/>
          </w:tcPr>
          <w:p w:rsidR="00A26989" w:rsidRPr="00025B12" w:rsidRDefault="00A26989" w:rsidP="008455B6">
            <w:pPr>
              <w:jc w:val="both"/>
              <w:rPr>
                <w:rFonts w:ascii="Verdana" w:eastAsia="Times New Roman" w:hAnsi="Verdana"/>
                <w:sz w:val="20"/>
                <w:szCs w:val="20"/>
                <w:lang w:eastAsia="cs-CZ"/>
              </w:rPr>
            </w:pPr>
            <w:r w:rsidRPr="00025B12">
              <w:rPr>
                <w:rFonts w:ascii="Verdana" w:eastAsia="Times New Roman" w:hAnsi="Verdana"/>
                <w:sz w:val="20"/>
                <w:szCs w:val="20"/>
                <w:lang w:eastAsia="cs-CZ"/>
              </w:rPr>
              <w:t>Význam pro monitoring dalšího vzdělávání:</w:t>
            </w:r>
          </w:p>
          <w:p w:rsidR="008455B6" w:rsidRPr="00025B12" w:rsidRDefault="008455B6" w:rsidP="008455B6">
            <w:pPr>
              <w:spacing w:before="240" w:after="0" w:line="240" w:lineRule="auto"/>
              <w:contextualSpacing/>
              <w:jc w:val="both"/>
              <w:rPr>
                <w:rFonts w:ascii="Verdana" w:hAnsi="Verdana"/>
                <w:b/>
                <w:sz w:val="20"/>
                <w:szCs w:val="20"/>
              </w:rPr>
            </w:pPr>
            <w:r w:rsidRPr="00025B12">
              <w:rPr>
                <w:rFonts w:ascii="Verdana" w:hAnsi="Verdana"/>
                <w:b/>
                <w:sz w:val="20"/>
                <w:szCs w:val="20"/>
              </w:rPr>
              <w:t>Výkaz ÚNP 4-01 (d,f) „Výkaz o úplných nákladech práce“</w:t>
            </w:r>
            <w:r w:rsidRPr="00025B12">
              <w:rPr>
                <w:rFonts w:ascii="Verdana" w:hAnsi="Verdana"/>
                <w:sz w:val="20"/>
                <w:szCs w:val="20"/>
              </w:rPr>
              <w:t xml:space="preserve"> (ROČNÍ PERIODICITA) obsahuje ve variantách d a f (pro všechny podnikatelské subjekty s 1-9 zaměstnanci a 250+ zaměstnanci a pro vybrané s 10-249 zaměstnanci a pro vybrané fyzické osoby s 10 a více zaměstnanci) informace o struktuře úplných nákladů práce, z nichž je možné identifikovat samostatnou položku:</w:t>
            </w:r>
          </w:p>
          <w:p w:rsidR="008455B6" w:rsidRPr="00025B12" w:rsidRDefault="008455B6" w:rsidP="00641D19">
            <w:pPr>
              <w:numPr>
                <w:ilvl w:val="0"/>
                <w:numId w:val="29"/>
              </w:numPr>
              <w:spacing w:before="240" w:after="0" w:line="240" w:lineRule="auto"/>
              <w:ind w:left="1418"/>
              <w:contextualSpacing/>
              <w:jc w:val="both"/>
              <w:rPr>
                <w:rFonts w:ascii="Verdana" w:hAnsi="Verdana"/>
                <w:sz w:val="20"/>
                <w:szCs w:val="20"/>
              </w:rPr>
            </w:pPr>
            <w:r w:rsidRPr="00025B12">
              <w:rPr>
                <w:rFonts w:ascii="Verdana" w:hAnsi="Verdana"/>
                <w:sz w:val="20"/>
                <w:szCs w:val="20"/>
              </w:rPr>
              <w:t>Náklady na školení zaměstnanců</w:t>
            </w:r>
            <w:r w:rsidR="00F55597" w:rsidRPr="00025B12">
              <w:rPr>
                <w:rFonts w:ascii="Verdana" w:hAnsi="Verdana"/>
                <w:sz w:val="20"/>
                <w:szCs w:val="20"/>
              </w:rPr>
              <w:t xml:space="preserve"> pro povolání</w:t>
            </w:r>
            <w:r w:rsidRPr="00025B12">
              <w:rPr>
                <w:rFonts w:ascii="Verdana" w:hAnsi="Verdana"/>
                <w:sz w:val="20"/>
                <w:szCs w:val="20"/>
              </w:rPr>
              <w:t>.</w:t>
            </w:r>
          </w:p>
          <w:p w:rsidR="00F55597" w:rsidRPr="00025B12" w:rsidRDefault="00F55597" w:rsidP="00F55597">
            <w:pPr>
              <w:spacing w:before="240" w:after="0" w:line="240" w:lineRule="auto"/>
              <w:contextualSpacing/>
              <w:jc w:val="both"/>
              <w:rPr>
                <w:rFonts w:ascii="Verdana" w:hAnsi="Verdana"/>
                <w:sz w:val="20"/>
                <w:szCs w:val="20"/>
              </w:rPr>
            </w:pPr>
            <w:r w:rsidRPr="00025B12">
              <w:rPr>
                <w:rFonts w:ascii="Verdana" w:hAnsi="Verdana"/>
                <w:sz w:val="20"/>
                <w:szCs w:val="20"/>
              </w:rPr>
              <w:t>Ty zahrnují náklady na odborná školení zaměstnanců, tj. náklady na odborné výcvikové služby a zařízení, výdaje na účast v kurzech, poplatky za mimopodnikové instruktory, výdaje za vyučovací pomůcky a nástroje používané při školení, částky vyplacené zařízením provádějícím odborná školení apod. Případné přijaté dotace od úřadů práce, např. na rekvalifikaci zaměstnanců nebo částky přijaté od zaměstnanců podle vnitřních předpisů, se odečítají.</w:t>
            </w:r>
          </w:p>
          <w:p w:rsidR="008455B6" w:rsidRPr="00025B12" w:rsidRDefault="008455B6" w:rsidP="008455B6">
            <w:pPr>
              <w:spacing w:before="240" w:after="0" w:line="240" w:lineRule="auto"/>
              <w:contextualSpacing/>
              <w:jc w:val="both"/>
              <w:rPr>
                <w:rFonts w:ascii="Verdana" w:hAnsi="Verdana"/>
                <w:sz w:val="20"/>
                <w:szCs w:val="20"/>
              </w:rPr>
            </w:pPr>
            <w:r w:rsidRPr="00025B12">
              <w:rPr>
                <w:rFonts w:ascii="Verdana" w:hAnsi="Verdana"/>
                <w:sz w:val="20"/>
                <w:szCs w:val="20"/>
              </w:rPr>
              <w:t>Kromě toho výkaz obsahuje další informace o počtech zaměstnanců a odpracovaných hodin a dalších nákladech práce, které umožňují vztáhnout objemy prostředků vynaložených na školení zaměstnanců k dalším ukazatelům.</w:t>
            </w:r>
          </w:p>
          <w:p w:rsidR="008455B6" w:rsidRPr="00025B12" w:rsidRDefault="008455B6" w:rsidP="008455B6">
            <w:pPr>
              <w:spacing w:before="240" w:after="0" w:line="240" w:lineRule="auto"/>
              <w:contextualSpacing/>
              <w:jc w:val="both"/>
              <w:rPr>
                <w:rFonts w:ascii="Verdana" w:hAnsi="Verdana"/>
                <w:sz w:val="20"/>
                <w:szCs w:val="20"/>
              </w:rPr>
            </w:pPr>
            <w:r w:rsidRPr="00025B12">
              <w:rPr>
                <w:rFonts w:ascii="Verdana" w:hAnsi="Verdana"/>
                <w:sz w:val="20"/>
                <w:szCs w:val="20"/>
              </w:rPr>
              <w:t>Územní třídění je provedeno podle kraje (úroveň NUTS3, klasifikace CZ-NUTS), v němž je sídlo vykazujícího subjektu (tzv. podniková metoda). V praxi to znamená, že i když má ekonomický subjekt nižší organizační složky (závody, provozovny apod.) dislokovány v jiném kraji, je celý zařazen do kraje, v němž sídlí jeho ústředí. Toto hledisko je třeba vzít v úvahu při interpretaci a analýze územně tříděných údajů.</w:t>
            </w:r>
          </w:p>
          <w:p w:rsidR="008455B6" w:rsidRPr="00025B12" w:rsidRDefault="008455B6" w:rsidP="008455B6">
            <w:pPr>
              <w:spacing w:before="240" w:after="0" w:line="240" w:lineRule="auto"/>
              <w:contextualSpacing/>
              <w:jc w:val="both"/>
              <w:rPr>
                <w:rFonts w:ascii="Verdana" w:hAnsi="Verdana"/>
                <w:sz w:val="20"/>
                <w:szCs w:val="20"/>
              </w:rPr>
            </w:pPr>
            <w:r w:rsidRPr="00025B12">
              <w:rPr>
                <w:rFonts w:ascii="Verdana" w:hAnsi="Verdana"/>
                <w:sz w:val="20"/>
                <w:szCs w:val="20"/>
              </w:rPr>
              <w:t>Šetření úplných nákladů práce se koná v ČR každoročně, jednou za 4 roky vstupují jeho údaje do celoevropského šetření Labour Cost Survey.</w:t>
            </w:r>
            <w:r w:rsidR="00B21766" w:rsidRPr="00025B12">
              <w:rPr>
                <w:rFonts w:ascii="Verdana" w:hAnsi="Verdana"/>
                <w:sz w:val="20"/>
                <w:szCs w:val="20"/>
              </w:rPr>
              <w:t xml:space="preserve"> Mezinárodní srovnání je omezeno na subjekty s 10 a více zaměstnanci a zahrnuje jen podniky v odvětvích NACE Rev 2 B až S mimo O.</w:t>
            </w:r>
          </w:p>
          <w:p w:rsidR="00A26989" w:rsidRPr="00025B12" w:rsidRDefault="00A26989" w:rsidP="00A26989">
            <w:pPr>
              <w:spacing w:before="240" w:after="0" w:line="240" w:lineRule="auto"/>
              <w:contextualSpacing/>
              <w:jc w:val="both"/>
              <w:rPr>
                <w:rFonts w:ascii="Verdana" w:eastAsia="Times New Roman" w:hAnsi="Verdana"/>
                <w:sz w:val="20"/>
                <w:szCs w:val="20"/>
                <w:lang w:eastAsia="cs-CZ"/>
              </w:rPr>
            </w:pPr>
          </w:p>
        </w:tc>
      </w:tr>
      <w:tr w:rsidR="00A26989" w:rsidRPr="00025B12" w:rsidTr="008455B6">
        <w:trPr>
          <w:jc w:val="center"/>
        </w:trPr>
        <w:tc>
          <w:tcPr>
            <w:tcW w:w="2518" w:type="dxa"/>
            <w:shd w:val="clear" w:color="auto" w:fill="663399"/>
          </w:tcPr>
          <w:p w:rsidR="00A26989" w:rsidRPr="00025B12" w:rsidRDefault="00A26989" w:rsidP="008455B6">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Dotazník:</w:t>
            </w:r>
          </w:p>
        </w:tc>
        <w:tc>
          <w:tcPr>
            <w:tcW w:w="6770" w:type="dxa"/>
          </w:tcPr>
          <w:p w:rsidR="00A26989" w:rsidRPr="00025B12" w:rsidRDefault="00665F1D" w:rsidP="008455B6">
            <w:pPr>
              <w:spacing w:after="60" w:line="264" w:lineRule="auto"/>
              <w:jc w:val="both"/>
              <w:rPr>
                <w:rFonts w:ascii="Verdana" w:eastAsia="Times New Roman" w:hAnsi="Verdana"/>
                <w:sz w:val="20"/>
                <w:szCs w:val="20"/>
                <w:lang w:eastAsia="cs-CZ"/>
              </w:rPr>
            </w:pPr>
            <w:hyperlink r:id="rId55" w:history="1">
              <w:r w:rsidR="00A26989" w:rsidRPr="00025B12">
                <w:rPr>
                  <w:rStyle w:val="Hypertextovodkaz"/>
                  <w:rFonts w:ascii="Verdana" w:hAnsi="Verdana"/>
                  <w:sz w:val="20"/>
                  <w:szCs w:val="20"/>
                </w:rPr>
                <w:t>http://apl.czso.cz/pll/vykazy/pdf113?xvyk=1639&amp;cd=0</w:t>
              </w:r>
            </w:hyperlink>
          </w:p>
        </w:tc>
      </w:tr>
      <w:tr w:rsidR="00A26989" w:rsidRPr="00025B12" w:rsidTr="008455B6">
        <w:trPr>
          <w:jc w:val="center"/>
        </w:trPr>
        <w:tc>
          <w:tcPr>
            <w:tcW w:w="2518" w:type="dxa"/>
            <w:shd w:val="clear" w:color="auto" w:fill="663399"/>
          </w:tcPr>
          <w:p w:rsidR="00A26989" w:rsidRPr="00025B12" w:rsidRDefault="00A26989" w:rsidP="008455B6">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Zdroj:</w:t>
            </w:r>
          </w:p>
        </w:tc>
        <w:tc>
          <w:tcPr>
            <w:tcW w:w="6770" w:type="dxa"/>
          </w:tcPr>
          <w:p w:rsidR="00A26989" w:rsidRPr="00025B12" w:rsidRDefault="00A26989" w:rsidP="008455B6">
            <w:pPr>
              <w:spacing w:after="60" w:line="264" w:lineRule="auto"/>
              <w:jc w:val="both"/>
              <w:rPr>
                <w:rFonts w:ascii="Verdana" w:hAnsi="Verdana"/>
                <w:sz w:val="20"/>
                <w:szCs w:val="20"/>
              </w:rPr>
            </w:pPr>
            <w:r w:rsidRPr="00025B12">
              <w:rPr>
                <w:rFonts w:ascii="Verdana" w:hAnsi="Verdana"/>
                <w:sz w:val="20"/>
                <w:szCs w:val="20"/>
              </w:rPr>
              <w:t xml:space="preserve">ČSÚ: </w:t>
            </w:r>
            <w:hyperlink r:id="rId56" w:history="1">
              <w:r w:rsidRPr="00025B12">
                <w:rPr>
                  <w:rStyle w:val="Hypertextovodkaz"/>
                  <w:rFonts w:ascii="Verdana" w:hAnsi="Verdana"/>
                  <w:sz w:val="20"/>
                  <w:szCs w:val="20"/>
                </w:rPr>
                <w:t>http://www.czso.cz/csu/2010edicniplan.nsf/p/3112-10</w:t>
              </w:r>
            </w:hyperlink>
          </w:p>
          <w:p w:rsidR="00B21766" w:rsidRPr="00025B12" w:rsidRDefault="00B21766" w:rsidP="008455B6">
            <w:pPr>
              <w:spacing w:after="60" w:line="264" w:lineRule="auto"/>
              <w:jc w:val="both"/>
              <w:rPr>
                <w:rFonts w:ascii="Verdana" w:hAnsi="Verdana"/>
                <w:sz w:val="20"/>
                <w:szCs w:val="20"/>
              </w:rPr>
            </w:pPr>
            <w:r w:rsidRPr="00025B12">
              <w:rPr>
                <w:rFonts w:ascii="Verdana" w:hAnsi="Verdana"/>
                <w:sz w:val="20"/>
                <w:szCs w:val="20"/>
              </w:rPr>
              <w:t xml:space="preserve">Eurostat: </w:t>
            </w:r>
            <w:hyperlink r:id="rId57" w:history="1">
              <w:r w:rsidRPr="00025B12">
                <w:rPr>
                  <w:rStyle w:val="Hypertextovodkaz"/>
                  <w:rFonts w:ascii="Verdana" w:hAnsi="Verdana"/>
                  <w:sz w:val="20"/>
                  <w:szCs w:val="20"/>
                </w:rPr>
                <w:t>http://epp.eurostat.ec.europa.eu/cache/ITY_SDDS/en/lcs_esms.htm</w:t>
              </w:r>
            </w:hyperlink>
          </w:p>
        </w:tc>
      </w:tr>
    </w:tbl>
    <w:p w:rsidR="00A26989" w:rsidRPr="00025B12" w:rsidRDefault="00A26989" w:rsidP="00870706">
      <w:pPr>
        <w:spacing w:before="240" w:after="0" w:line="240" w:lineRule="auto"/>
        <w:contextualSpacing/>
        <w:jc w:val="both"/>
        <w:rPr>
          <w:rFonts w:ascii="Verdana" w:eastAsia="Times New Roman" w:hAnsi="Verdana"/>
          <w:b/>
          <w:sz w:val="24"/>
          <w:szCs w:val="24"/>
          <w:lang w:eastAsia="cs-CZ"/>
        </w:rPr>
      </w:pPr>
    </w:p>
    <w:p w:rsidR="00A26989" w:rsidRPr="00025B12" w:rsidRDefault="00A26989" w:rsidP="00870706">
      <w:pPr>
        <w:spacing w:before="240" w:after="0" w:line="240" w:lineRule="auto"/>
        <w:contextualSpacing/>
        <w:jc w:val="both"/>
        <w:rPr>
          <w:rFonts w:ascii="Verdana" w:eastAsia="Times New Roman" w:hAnsi="Verdana"/>
          <w:b/>
          <w:sz w:val="24"/>
          <w:szCs w:val="24"/>
          <w:lang w:eastAsia="cs-CZ"/>
        </w:rPr>
      </w:pPr>
    </w:p>
    <w:p w:rsidR="0006704E" w:rsidRPr="00025B12" w:rsidRDefault="0006704E" w:rsidP="00870706">
      <w:pPr>
        <w:spacing w:before="240" w:after="0" w:line="240" w:lineRule="auto"/>
        <w:contextualSpacing/>
        <w:jc w:val="both"/>
        <w:rPr>
          <w:rFonts w:ascii="Verdana" w:eastAsia="Times New Roman" w:hAnsi="Verdana"/>
          <w:b/>
          <w:sz w:val="24"/>
          <w:szCs w:val="24"/>
          <w:lang w:eastAsia="cs-CZ"/>
        </w:rPr>
      </w:pPr>
    </w:p>
    <w:p w:rsidR="00265733" w:rsidRPr="00025B12" w:rsidRDefault="00265733" w:rsidP="00265733">
      <w:pPr>
        <w:spacing w:before="240" w:after="0" w:line="240" w:lineRule="auto"/>
        <w:contextualSpacing/>
        <w:jc w:val="both"/>
        <w:outlineLvl w:val="0"/>
        <w:rPr>
          <w:rFonts w:ascii="Verdana" w:eastAsia="Times New Roman" w:hAnsi="Verdana"/>
          <w:b/>
          <w:sz w:val="24"/>
          <w:szCs w:val="24"/>
          <w:lang w:eastAsia="cs-CZ"/>
        </w:rPr>
      </w:pPr>
      <w:bookmarkStart w:id="162" w:name="VET"/>
      <w:r w:rsidRPr="00025B12">
        <w:rPr>
          <w:rFonts w:ascii="Verdana" w:eastAsia="Times New Roman" w:hAnsi="Verdana"/>
          <w:b/>
          <w:sz w:val="24"/>
          <w:szCs w:val="24"/>
          <w:lang w:eastAsia="cs-CZ"/>
        </w:rPr>
        <w:t>VET in Europe - Country reports</w:t>
      </w:r>
    </w:p>
    <w:bookmarkEnd w:id="162"/>
    <w:p w:rsidR="00FE015A" w:rsidRPr="00025B12" w:rsidRDefault="00FE015A" w:rsidP="00265733">
      <w:pPr>
        <w:jc w:val="both"/>
        <w:outlineLvl w:val="0"/>
        <w:rPr>
          <w:rFonts w:ascii="Verdana" w:hAnsi="Verdana"/>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F14D00" w:rsidRPr="00025B12" w:rsidTr="006D4D6F">
        <w:trPr>
          <w:jc w:val="center"/>
        </w:trPr>
        <w:tc>
          <w:tcPr>
            <w:tcW w:w="2518" w:type="dxa"/>
            <w:shd w:val="clear" w:color="auto" w:fill="663399"/>
          </w:tcPr>
          <w:p w:rsidR="00F14D00" w:rsidRPr="00025B12" w:rsidRDefault="00F14D00" w:rsidP="006D4D6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F14D00" w:rsidRPr="00025B12" w:rsidRDefault="00F14D00" w:rsidP="006D4D6F">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Cedefop/národní koordinátoři ReferNet</w:t>
            </w:r>
          </w:p>
        </w:tc>
      </w:tr>
      <w:tr w:rsidR="00F14D00" w:rsidRPr="00025B12" w:rsidTr="006D4D6F">
        <w:trPr>
          <w:jc w:val="center"/>
        </w:trPr>
        <w:tc>
          <w:tcPr>
            <w:tcW w:w="2518" w:type="dxa"/>
            <w:shd w:val="clear" w:color="auto" w:fill="663399"/>
          </w:tcPr>
          <w:p w:rsidR="00F14D00" w:rsidRPr="00025B12" w:rsidRDefault="00F14D00" w:rsidP="006D4D6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F14D00" w:rsidRPr="00025B12" w:rsidRDefault="00F14D00" w:rsidP="006D4D6F">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Roční</w:t>
            </w:r>
          </w:p>
        </w:tc>
      </w:tr>
      <w:tr w:rsidR="00F14D00" w:rsidRPr="00025B12" w:rsidTr="006D4D6F">
        <w:trPr>
          <w:jc w:val="center"/>
        </w:trPr>
        <w:tc>
          <w:tcPr>
            <w:tcW w:w="2518" w:type="dxa"/>
            <w:shd w:val="clear" w:color="auto" w:fill="663399"/>
          </w:tcPr>
          <w:p w:rsidR="00F14D00" w:rsidRPr="00025B12" w:rsidRDefault="00F14D00" w:rsidP="006D4D6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F14D00" w:rsidRPr="00025B12" w:rsidRDefault="00F14D00" w:rsidP="00F14D00">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Mezinárodní – země EU</w:t>
            </w:r>
          </w:p>
        </w:tc>
      </w:tr>
      <w:tr w:rsidR="00F14D00" w:rsidRPr="00025B12" w:rsidTr="006D4D6F">
        <w:trPr>
          <w:jc w:val="center"/>
        </w:trPr>
        <w:tc>
          <w:tcPr>
            <w:tcW w:w="9288" w:type="dxa"/>
            <w:gridSpan w:val="2"/>
          </w:tcPr>
          <w:p w:rsidR="00F14D00" w:rsidRPr="00025B12" w:rsidRDefault="00F14D00" w:rsidP="00F14D00">
            <w:pPr>
              <w:jc w:val="both"/>
              <w:rPr>
                <w:rFonts w:ascii="Verdana" w:eastAsia="Times New Roman" w:hAnsi="Verdana"/>
                <w:b/>
                <w:sz w:val="20"/>
                <w:szCs w:val="20"/>
                <w:lang w:eastAsia="cs-CZ"/>
              </w:rPr>
            </w:pPr>
            <w:r w:rsidRPr="00025B12">
              <w:rPr>
                <w:rFonts w:ascii="Verdana" w:eastAsia="Times New Roman" w:hAnsi="Verdana"/>
                <w:b/>
                <w:sz w:val="20"/>
                <w:szCs w:val="20"/>
                <w:lang w:eastAsia="cs-CZ"/>
              </w:rPr>
              <w:t>Význam pro monitoring dalšího vzdělávání:</w:t>
            </w:r>
          </w:p>
          <w:p w:rsidR="00F14D00" w:rsidRPr="00025B12" w:rsidRDefault="00F14D00" w:rsidP="00F14D00">
            <w:pPr>
              <w:jc w:val="both"/>
              <w:rPr>
                <w:rFonts w:ascii="Verdana" w:eastAsia="Times New Roman" w:hAnsi="Verdana"/>
                <w:sz w:val="20"/>
                <w:szCs w:val="20"/>
                <w:lang w:eastAsia="cs-CZ"/>
              </w:rPr>
            </w:pPr>
            <w:r w:rsidRPr="00025B12">
              <w:rPr>
                <w:rFonts w:ascii="Verdana" w:eastAsia="Times New Roman" w:hAnsi="Verdana"/>
                <w:sz w:val="20"/>
                <w:szCs w:val="20"/>
                <w:lang w:eastAsia="cs-CZ"/>
              </w:rPr>
              <w:t>Zprávy o stavu odborného vzdělávání (počátečního i dalšího) jsou každoročně vydávány v rámci sítě ReferNet. Jsou zpracovávány pod vedením Cedefopu jednotlivými národními koordinátory sítě ReferNet a obsahují informace o odborném vzdělávání v dané zemi. Zprávy mají jednotnou strukturu a zadání, obsahují však převážně informace kvalitativního typu a přesné mezinárodní srovnání je obtížné.</w:t>
            </w:r>
          </w:p>
          <w:p w:rsidR="00F14D00" w:rsidRPr="00025B12" w:rsidRDefault="00F14D00" w:rsidP="006D4D6F">
            <w:pPr>
              <w:jc w:val="both"/>
              <w:rPr>
                <w:rFonts w:ascii="Verdana" w:eastAsia="Times New Roman" w:hAnsi="Verdana"/>
                <w:sz w:val="20"/>
                <w:szCs w:val="20"/>
                <w:lang w:eastAsia="cs-CZ"/>
              </w:rPr>
            </w:pPr>
          </w:p>
        </w:tc>
      </w:tr>
      <w:tr w:rsidR="00F14D00" w:rsidRPr="00025B12" w:rsidTr="006D4D6F">
        <w:trPr>
          <w:jc w:val="center"/>
        </w:trPr>
        <w:tc>
          <w:tcPr>
            <w:tcW w:w="2518" w:type="dxa"/>
            <w:shd w:val="clear" w:color="auto" w:fill="663399"/>
          </w:tcPr>
          <w:p w:rsidR="00F14D00" w:rsidRPr="00025B12" w:rsidRDefault="00F14D00" w:rsidP="006D4D6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Zdroj:</w:t>
            </w:r>
          </w:p>
        </w:tc>
        <w:tc>
          <w:tcPr>
            <w:tcW w:w="6770" w:type="dxa"/>
          </w:tcPr>
          <w:p w:rsidR="00F14D00" w:rsidRPr="00025B12" w:rsidRDefault="00F14D00" w:rsidP="00F14D00">
            <w:pPr>
              <w:jc w:val="both"/>
              <w:rPr>
                <w:rFonts w:ascii="Verdana" w:eastAsia="Times New Roman" w:hAnsi="Verdana"/>
                <w:sz w:val="20"/>
                <w:szCs w:val="20"/>
                <w:lang w:eastAsia="cs-CZ"/>
              </w:rPr>
            </w:pPr>
            <w:r w:rsidRPr="00025B12">
              <w:rPr>
                <w:rFonts w:ascii="Verdana" w:hAnsi="Verdana"/>
                <w:sz w:val="20"/>
                <w:szCs w:val="20"/>
              </w:rPr>
              <w:t xml:space="preserve">Cedefop: </w:t>
            </w:r>
            <w:hyperlink r:id="rId58" w:history="1">
              <w:r w:rsidRPr="00025B12">
                <w:rPr>
                  <w:rStyle w:val="Hypertextovodkaz"/>
                  <w:rFonts w:ascii="Verdana" w:hAnsi="Verdana"/>
                  <w:sz w:val="20"/>
                  <w:szCs w:val="20"/>
                </w:rPr>
                <w:t>http://www.cedefop.europa.eu/EN/Information-services/vet-in-europe-country-reports.aspx</w:t>
              </w:r>
            </w:hyperlink>
          </w:p>
          <w:p w:rsidR="00F14D00" w:rsidRPr="00025B12" w:rsidRDefault="00F14D00" w:rsidP="00F14D00">
            <w:pPr>
              <w:jc w:val="both"/>
              <w:rPr>
                <w:rFonts w:ascii="Verdana" w:eastAsia="Times New Roman" w:hAnsi="Verdana"/>
                <w:sz w:val="20"/>
                <w:szCs w:val="20"/>
                <w:lang w:eastAsia="cs-CZ"/>
              </w:rPr>
            </w:pPr>
            <w:r w:rsidRPr="00025B12">
              <w:rPr>
                <w:rFonts w:ascii="Verdana" w:hAnsi="Verdana"/>
                <w:sz w:val="20"/>
                <w:szCs w:val="20"/>
              </w:rPr>
              <w:t>ReferNet ČR:</w:t>
            </w:r>
            <w:r w:rsidRPr="00025B12">
              <w:rPr>
                <w:rFonts w:ascii="Verdana" w:eastAsia="Times New Roman" w:hAnsi="Verdana"/>
                <w:sz w:val="20"/>
                <w:szCs w:val="20"/>
                <w:lang w:eastAsia="cs-CZ"/>
              </w:rPr>
              <w:t xml:space="preserve"> </w:t>
            </w:r>
            <w:hyperlink r:id="rId59" w:history="1">
              <w:r w:rsidRPr="00025B12">
                <w:rPr>
                  <w:rStyle w:val="Hypertextovodkaz"/>
                  <w:rFonts w:ascii="Verdana" w:eastAsia="Times New Roman" w:hAnsi="Verdana"/>
                  <w:sz w:val="20"/>
                  <w:szCs w:val="20"/>
                  <w:lang w:eastAsia="cs-CZ"/>
                </w:rPr>
                <w:t>www.refernet.cz</w:t>
              </w:r>
            </w:hyperlink>
          </w:p>
          <w:p w:rsidR="00F14D00" w:rsidRPr="00025B12" w:rsidRDefault="00F14D00" w:rsidP="00F14D00">
            <w:pPr>
              <w:spacing w:after="60" w:line="264" w:lineRule="auto"/>
              <w:jc w:val="both"/>
            </w:pPr>
          </w:p>
        </w:tc>
      </w:tr>
    </w:tbl>
    <w:p w:rsidR="00F14D00" w:rsidRPr="00025B12" w:rsidRDefault="00F14D00" w:rsidP="00856DAF">
      <w:pPr>
        <w:spacing w:before="240" w:after="0" w:line="240" w:lineRule="auto"/>
        <w:contextualSpacing/>
        <w:jc w:val="both"/>
        <w:outlineLvl w:val="0"/>
        <w:rPr>
          <w:rFonts w:ascii="Verdana" w:eastAsia="Times New Roman" w:hAnsi="Verdana"/>
          <w:b/>
          <w:sz w:val="24"/>
          <w:szCs w:val="24"/>
          <w:lang w:eastAsia="cs-CZ"/>
        </w:rPr>
      </w:pPr>
      <w:bookmarkStart w:id="163" w:name="IMD"/>
    </w:p>
    <w:p w:rsidR="00265733" w:rsidRPr="00025B12" w:rsidRDefault="00856DAF" w:rsidP="00856DAF">
      <w:pPr>
        <w:spacing w:before="240" w:after="0" w:line="240" w:lineRule="auto"/>
        <w:contextualSpacing/>
        <w:jc w:val="both"/>
        <w:outlineLvl w:val="0"/>
        <w:rPr>
          <w:rFonts w:ascii="Verdana" w:eastAsia="Times New Roman" w:hAnsi="Verdana"/>
          <w:b/>
          <w:sz w:val="24"/>
          <w:szCs w:val="24"/>
          <w:lang w:eastAsia="cs-CZ"/>
        </w:rPr>
      </w:pPr>
      <w:r w:rsidRPr="00025B12">
        <w:rPr>
          <w:rFonts w:ascii="Verdana" w:eastAsia="Times New Roman" w:hAnsi="Verdana"/>
          <w:b/>
          <w:sz w:val="24"/>
          <w:szCs w:val="24"/>
          <w:lang w:eastAsia="cs-CZ"/>
        </w:rPr>
        <w:t xml:space="preserve">IMD World Competitiveness </w:t>
      </w:r>
      <w:r w:rsidR="00FE015A" w:rsidRPr="00025B12">
        <w:rPr>
          <w:rFonts w:ascii="Verdana" w:eastAsia="Times New Roman" w:hAnsi="Verdana"/>
          <w:b/>
          <w:sz w:val="24"/>
          <w:szCs w:val="24"/>
          <w:lang w:eastAsia="cs-CZ"/>
        </w:rPr>
        <w:t>Yearbook</w:t>
      </w:r>
    </w:p>
    <w:bookmarkEnd w:id="163"/>
    <w:p w:rsidR="00856DAF" w:rsidRPr="00025B12" w:rsidRDefault="00856DAF" w:rsidP="00856DAF">
      <w:pPr>
        <w:jc w:val="both"/>
        <w:outlineLvl w:val="0"/>
        <w:rPr>
          <w:rFonts w:ascii="Verdana" w:hAnsi="Verdana"/>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FE015A" w:rsidRPr="00025B12" w:rsidTr="00E247B4">
        <w:trPr>
          <w:jc w:val="center"/>
        </w:trPr>
        <w:tc>
          <w:tcPr>
            <w:tcW w:w="2518" w:type="dxa"/>
            <w:shd w:val="clear" w:color="auto" w:fill="663399"/>
          </w:tcPr>
          <w:p w:rsidR="00FE015A" w:rsidRPr="00025B12" w:rsidRDefault="00FE015A" w:rsidP="00E247B4">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FE015A" w:rsidRPr="00025B12" w:rsidRDefault="00FE015A" w:rsidP="00E247B4">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IMD</w:t>
            </w:r>
          </w:p>
        </w:tc>
      </w:tr>
      <w:tr w:rsidR="00FE015A" w:rsidRPr="00025B12" w:rsidTr="00E247B4">
        <w:trPr>
          <w:jc w:val="center"/>
        </w:trPr>
        <w:tc>
          <w:tcPr>
            <w:tcW w:w="2518" w:type="dxa"/>
            <w:shd w:val="clear" w:color="auto" w:fill="663399"/>
          </w:tcPr>
          <w:p w:rsidR="00FE015A" w:rsidRPr="00025B12" w:rsidRDefault="00FE015A" w:rsidP="00E247B4">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FE015A" w:rsidRPr="00025B12" w:rsidRDefault="00FE015A" w:rsidP="00E247B4">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Roční</w:t>
            </w:r>
          </w:p>
        </w:tc>
      </w:tr>
      <w:tr w:rsidR="00FE015A" w:rsidRPr="00025B12" w:rsidTr="00E247B4">
        <w:trPr>
          <w:jc w:val="center"/>
        </w:trPr>
        <w:tc>
          <w:tcPr>
            <w:tcW w:w="2518" w:type="dxa"/>
            <w:shd w:val="clear" w:color="auto" w:fill="663399"/>
          </w:tcPr>
          <w:p w:rsidR="00FE015A" w:rsidRPr="00025B12" w:rsidRDefault="00FE015A" w:rsidP="00E247B4">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FE015A" w:rsidRPr="00025B12" w:rsidRDefault="00FE015A" w:rsidP="00E247B4">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Mezinárodní – 58 zemí</w:t>
            </w:r>
          </w:p>
        </w:tc>
      </w:tr>
      <w:tr w:rsidR="00FE015A" w:rsidRPr="00025B12" w:rsidTr="00E247B4">
        <w:trPr>
          <w:jc w:val="center"/>
        </w:trPr>
        <w:tc>
          <w:tcPr>
            <w:tcW w:w="9288" w:type="dxa"/>
            <w:gridSpan w:val="2"/>
          </w:tcPr>
          <w:p w:rsidR="00FE015A" w:rsidRPr="00025B12" w:rsidRDefault="00FE015A" w:rsidP="00E247B4">
            <w:pPr>
              <w:jc w:val="both"/>
              <w:rPr>
                <w:rFonts w:ascii="Verdana" w:eastAsia="Times New Roman" w:hAnsi="Verdana"/>
                <w:b/>
                <w:sz w:val="20"/>
                <w:szCs w:val="20"/>
                <w:lang w:eastAsia="cs-CZ"/>
              </w:rPr>
            </w:pPr>
            <w:r w:rsidRPr="00025B12">
              <w:rPr>
                <w:rFonts w:ascii="Verdana" w:eastAsia="Times New Roman" w:hAnsi="Verdana"/>
                <w:b/>
                <w:sz w:val="20"/>
                <w:szCs w:val="20"/>
                <w:lang w:eastAsia="cs-CZ"/>
              </w:rPr>
              <w:t>Význam pro monitoring dalšího vzdělávání:</w:t>
            </w:r>
          </w:p>
          <w:p w:rsidR="00FE015A" w:rsidRPr="00025B12" w:rsidRDefault="00FE015A" w:rsidP="00FE015A">
            <w:pPr>
              <w:jc w:val="both"/>
              <w:rPr>
                <w:rFonts w:ascii="Verdana" w:eastAsia="Times New Roman" w:hAnsi="Verdana"/>
                <w:sz w:val="20"/>
                <w:szCs w:val="20"/>
                <w:lang w:eastAsia="cs-CZ"/>
              </w:rPr>
            </w:pPr>
            <w:r w:rsidRPr="00025B12">
              <w:rPr>
                <w:rFonts w:ascii="Verdana" w:eastAsia="Times New Roman" w:hAnsi="Verdana"/>
                <w:sz w:val="20"/>
                <w:szCs w:val="20"/>
                <w:lang w:eastAsia="cs-CZ"/>
              </w:rPr>
              <w:t>Cílem každoročně vydávané ročenky konkurenceschopnosti IMD je vyhodnocovat, jak země a podniky řídí své kompetence za účelem dosahování prosperity. Ročenka obsahuje 327 indikátorů rozdělených do 4 oblastí</w:t>
            </w:r>
            <w:r w:rsidR="00E247B4" w:rsidRPr="00025B12">
              <w:rPr>
                <w:rFonts w:ascii="Verdana" w:eastAsia="Times New Roman" w:hAnsi="Verdana"/>
                <w:sz w:val="20"/>
                <w:szCs w:val="20"/>
                <w:lang w:eastAsia="cs-CZ"/>
              </w:rPr>
              <w:t xml:space="preserve"> (ekonomická výkonnost, vládní efektivita, podniková efektivita, infrastruktura)</w:t>
            </w:r>
            <w:r w:rsidRPr="00025B12">
              <w:rPr>
                <w:rFonts w:ascii="Verdana" w:eastAsia="Times New Roman" w:hAnsi="Verdana"/>
                <w:sz w:val="20"/>
                <w:szCs w:val="20"/>
                <w:lang w:eastAsia="cs-CZ"/>
              </w:rPr>
              <w:t xml:space="preserve">. Část indikátorů je založena na tvrdých datech, další část na názorech expertů. Jejich součástí je i indikátor zaměřený na inovační kapacitu. </w:t>
            </w:r>
          </w:p>
        </w:tc>
      </w:tr>
      <w:tr w:rsidR="00FE015A" w:rsidRPr="00025B12" w:rsidTr="00E247B4">
        <w:trPr>
          <w:jc w:val="center"/>
        </w:trPr>
        <w:tc>
          <w:tcPr>
            <w:tcW w:w="2518" w:type="dxa"/>
            <w:shd w:val="clear" w:color="auto" w:fill="663399"/>
          </w:tcPr>
          <w:p w:rsidR="00FE015A" w:rsidRPr="00025B12" w:rsidRDefault="00FE015A" w:rsidP="00E247B4">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Zdroj:</w:t>
            </w:r>
          </w:p>
        </w:tc>
        <w:tc>
          <w:tcPr>
            <w:tcW w:w="6770" w:type="dxa"/>
          </w:tcPr>
          <w:p w:rsidR="00FE015A" w:rsidRPr="00025B12" w:rsidRDefault="00FE015A" w:rsidP="009A2404">
            <w:pPr>
              <w:spacing w:after="60" w:line="264" w:lineRule="auto"/>
              <w:jc w:val="both"/>
              <w:rPr>
                <w:rFonts w:ascii="Verdana" w:hAnsi="Verdana"/>
                <w:sz w:val="20"/>
                <w:szCs w:val="20"/>
              </w:rPr>
            </w:pPr>
            <w:r w:rsidRPr="00025B12">
              <w:rPr>
                <w:rFonts w:ascii="Verdana" w:hAnsi="Verdana"/>
                <w:sz w:val="20"/>
                <w:szCs w:val="20"/>
              </w:rPr>
              <w:t>IMD Worl</w:t>
            </w:r>
            <w:r w:rsidR="009A2404" w:rsidRPr="00025B12">
              <w:rPr>
                <w:rFonts w:ascii="Verdana" w:hAnsi="Verdana"/>
                <w:sz w:val="20"/>
                <w:szCs w:val="20"/>
              </w:rPr>
              <w:t>d</w:t>
            </w:r>
            <w:r w:rsidRPr="00025B12">
              <w:rPr>
                <w:rFonts w:ascii="Verdana" w:hAnsi="Verdana"/>
                <w:sz w:val="20"/>
                <w:szCs w:val="20"/>
              </w:rPr>
              <w:t xml:space="preserve"> Competeitiveness Yearbook</w:t>
            </w:r>
            <w:r w:rsidR="009A2404" w:rsidRPr="00025B12">
              <w:rPr>
                <w:rFonts w:ascii="Verdana" w:hAnsi="Verdana"/>
                <w:sz w:val="20"/>
                <w:szCs w:val="20"/>
              </w:rPr>
              <w:t xml:space="preserve"> </w:t>
            </w:r>
            <w:hyperlink r:id="rId60" w:history="1">
              <w:r w:rsidR="009A2404" w:rsidRPr="00025B12">
                <w:rPr>
                  <w:rStyle w:val="Hypertextovodkaz"/>
                  <w:rFonts w:ascii="Verdana" w:hAnsi="Verdana"/>
                  <w:sz w:val="20"/>
                  <w:szCs w:val="20"/>
                </w:rPr>
                <w:t>http://www.imd.org/research/publications/wcy/index.cfm</w:t>
              </w:r>
            </w:hyperlink>
          </w:p>
        </w:tc>
      </w:tr>
    </w:tbl>
    <w:p w:rsidR="00F14D00" w:rsidRPr="00025B12" w:rsidRDefault="00F14D00" w:rsidP="00856DAF">
      <w:pPr>
        <w:spacing w:before="240" w:after="0" w:line="240" w:lineRule="auto"/>
        <w:contextualSpacing/>
        <w:jc w:val="both"/>
        <w:outlineLvl w:val="0"/>
        <w:rPr>
          <w:rFonts w:ascii="Verdana" w:eastAsia="Times New Roman" w:hAnsi="Verdana"/>
          <w:b/>
          <w:sz w:val="24"/>
          <w:szCs w:val="24"/>
          <w:lang w:eastAsia="cs-CZ"/>
        </w:rPr>
      </w:pPr>
      <w:bookmarkStart w:id="164" w:name="LMPD"/>
    </w:p>
    <w:p w:rsidR="00856DAF" w:rsidRPr="00025B12" w:rsidRDefault="00856DAF" w:rsidP="00856DAF">
      <w:pPr>
        <w:spacing w:before="240" w:after="0" w:line="240" w:lineRule="auto"/>
        <w:contextualSpacing/>
        <w:jc w:val="both"/>
        <w:outlineLvl w:val="0"/>
        <w:rPr>
          <w:rFonts w:ascii="Verdana" w:eastAsia="Times New Roman" w:hAnsi="Verdana"/>
          <w:b/>
          <w:sz w:val="24"/>
          <w:szCs w:val="24"/>
          <w:lang w:eastAsia="cs-CZ"/>
        </w:rPr>
      </w:pPr>
      <w:r w:rsidRPr="00025B12">
        <w:rPr>
          <w:rFonts w:ascii="Verdana" w:eastAsia="Times New Roman" w:hAnsi="Verdana"/>
          <w:b/>
          <w:sz w:val="24"/>
          <w:szCs w:val="24"/>
          <w:lang w:eastAsia="cs-CZ"/>
        </w:rPr>
        <w:t>Labour market policy database</w:t>
      </w:r>
    </w:p>
    <w:p w:rsidR="006622C5" w:rsidRPr="00025B12" w:rsidRDefault="006622C5" w:rsidP="00856DAF">
      <w:pPr>
        <w:spacing w:before="240" w:after="0" w:line="240" w:lineRule="auto"/>
        <w:contextualSpacing/>
        <w:jc w:val="both"/>
        <w:outlineLvl w:val="0"/>
        <w:rPr>
          <w:rFonts w:ascii="Verdana" w:eastAsia="Times New Roman" w:hAnsi="Verdana"/>
          <w:b/>
          <w:sz w:val="24"/>
          <w:szCs w:val="24"/>
          <w:lang w:eastAsia="cs-C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6622C5" w:rsidRPr="00025B12" w:rsidTr="006D4D6F">
        <w:trPr>
          <w:jc w:val="center"/>
        </w:trPr>
        <w:tc>
          <w:tcPr>
            <w:tcW w:w="2518" w:type="dxa"/>
            <w:shd w:val="clear" w:color="auto" w:fill="663399"/>
          </w:tcPr>
          <w:p w:rsidR="006622C5" w:rsidRPr="00025B12" w:rsidRDefault="006622C5" w:rsidP="006D4D6F">
            <w:pPr>
              <w:spacing w:after="60" w:line="264" w:lineRule="auto"/>
              <w:jc w:val="both"/>
              <w:rPr>
                <w:rFonts w:ascii="Verdana" w:eastAsia="Times New Roman" w:hAnsi="Verdana"/>
                <w:b/>
                <w:color w:val="FFFFFF"/>
                <w:sz w:val="20"/>
                <w:szCs w:val="20"/>
                <w:lang w:eastAsia="cs-CZ"/>
              </w:rPr>
            </w:pPr>
            <w:bookmarkStart w:id="165" w:name="Sběr_dat_UIV"/>
            <w:bookmarkEnd w:id="164"/>
            <w:r w:rsidRPr="00025B12">
              <w:rPr>
                <w:rFonts w:ascii="Verdana" w:eastAsia="Times New Roman" w:hAnsi="Verdana"/>
                <w:b/>
                <w:color w:val="FFFFFF"/>
                <w:sz w:val="20"/>
                <w:szCs w:val="20"/>
                <w:lang w:eastAsia="cs-CZ"/>
              </w:rPr>
              <w:t>Realizátor:</w:t>
            </w:r>
          </w:p>
        </w:tc>
        <w:tc>
          <w:tcPr>
            <w:tcW w:w="6770" w:type="dxa"/>
            <w:shd w:val="clear" w:color="auto" w:fill="663399"/>
          </w:tcPr>
          <w:p w:rsidR="006622C5" w:rsidRPr="00025B12" w:rsidRDefault="006D4D6F" w:rsidP="006D4D6F">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Eurostat</w:t>
            </w:r>
          </w:p>
        </w:tc>
      </w:tr>
      <w:tr w:rsidR="006622C5" w:rsidRPr="00025B12" w:rsidTr="006D4D6F">
        <w:trPr>
          <w:jc w:val="center"/>
        </w:trPr>
        <w:tc>
          <w:tcPr>
            <w:tcW w:w="2518" w:type="dxa"/>
            <w:shd w:val="clear" w:color="auto" w:fill="663399"/>
          </w:tcPr>
          <w:p w:rsidR="006622C5" w:rsidRPr="00025B12" w:rsidRDefault="006622C5" w:rsidP="006D4D6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6622C5" w:rsidRPr="00025B12" w:rsidRDefault="006D4D6F" w:rsidP="006D4D6F">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Roční</w:t>
            </w:r>
          </w:p>
        </w:tc>
      </w:tr>
      <w:tr w:rsidR="006622C5" w:rsidRPr="00025B12" w:rsidTr="006D4D6F">
        <w:trPr>
          <w:jc w:val="center"/>
        </w:trPr>
        <w:tc>
          <w:tcPr>
            <w:tcW w:w="2518" w:type="dxa"/>
            <w:shd w:val="clear" w:color="auto" w:fill="663399"/>
          </w:tcPr>
          <w:p w:rsidR="006622C5" w:rsidRPr="00025B12" w:rsidRDefault="006622C5" w:rsidP="006D4D6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6622C5" w:rsidRPr="00025B12" w:rsidRDefault="006622C5" w:rsidP="006D4D6F">
            <w:pPr>
              <w:spacing w:after="60" w:line="264" w:lineRule="auto"/>
              <w:jc w:val="both"/>
              <w:rPr>
                <w:rFonts w:ascii="Verdana" w:eastAsia="Times New Roman" w:hAnsi="Verdana"/>
                <w:color w:val="FFFFFF"/>
                <w:sz w:val="20"/>
                <w:szCs w:val="20"/>
                <w:lang w:eastAsia="cs-CZ"/>
              </w:rPr>
            </w:pPr>
          </w:p>
        </w:tc>
      </w:tr>
      <w:tr w:rsidR="006622C5" w:rsidRPr="00025B12" w:rsidTr="006D4D6F">
        <w:trPr>
          <w:jc w:val="center"/>
        </w:trPr>
        <w:tc>
          <w:tcPr>
            <w:tcW w:w="9288" w:type="dxa"/>
            <w:gridSpan w:val="2"/>
          </w:tcPr>
          <w:p w:rsidR="006622C5" w:rsidRPr="00025B12" w:rsidRDefault="006622C5" w:rsidP="006D4D6F">
            <w:pPr>
              <w:jc w:val="both"/>
              <w:rPr>
                <w:rFonts w:ascii="Verdana" w:eastAsia="Times New Roman" w:hAnsi="Verdana"/>
                <w:sz w:val="20"/>
                <w:szCs w:val="20"/>
                <w:lang w:eastAsia="cs-CZ"/>
              </w:rPr>
            </w:pPr>
            <w:r w:rsidRPr="00025B12">
              <w:rPr>
                <w:rFonts w:ascii="Verdana" w:eastAsia="Times New Roman" w:hAnsi="Verdana"/>
                <w:sz w:val="20"/>
                <w:szCs w:val="20"/>
                <w:lang w:eastAsia="cs-CZ"/>
              </w:rPr>
              <w:t>Význam pro monitoring dalšího vzdělávání:</w:t>
            </w:r>
          </w:p>
          <w:p w:rsidR="0074777C" w:rsidRPr="00025B12" w:rsidRDefault="006D4D6F" w:rsidP="006622C5">
            <w:pPr>
              <w:spacing w:before="240" w:after="0" w:line="240" w:lineRule="auto"/>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Data z databáze </w:t>
            </w:r>
            <w:r w:rsidR="0074777C" w:rsidRPr="00025B12">
              <w:rPr>
                <w:rFonts w:ascii="Verdana" w:eastAsia="Times New Roman" w:hAnsi="Verdana"/>
                <w:sz w:val="20"/>
                <w:szCs w:val="20"/>
                <w:lang w:eastAsia="cs-CZ"/>
              </w:rPr>
              <w:t xml:space="preserve">politiky trhu práce obsahuje informace o různých opatřeních politiky trhu práce (zaměstnanosti). Jedná se o opatření specificky zaměřená na nezaměstnané, </w:t>
            </w:r>
            <w:r w:rsidR="0074777C" w:rsidRPr="00025B12">
              <w:rPr>
                <w:rFonts w:ascii="Verdana" w:eastAsia="Times New Roman" w:hAnsi="Verdana"/>
                <w:sz w:val="20"/>
                <w:szCs w:val="20"/>
                <w:lang w:eastAsia="cs-CZ"/>
              </w:rPr>
              <w:lastRenderedPageBreak/>
              <w:t>ohrožené ztrátou zaměstnání a neaktivní, kteří by měli rádi práci. Databáze shromažďuje kvantitativní i kvalitativní informace z administrativních zdrojů. Součástí sledovaných opatření je rekvalifikace z hlediska účastníků a nákladů.</w:t>
            </w:r>
          </w:p>
          <w:p w:rsidR="006D4D6F" w:rsidRPr="00025B12" w:rsidRDefault="006D4D6F" w:rsidP="006622C5">
            <w:pPr>
              <w:spacing w:before="240" w:after="0" w:line="240" w:lineRule="auto"/>
              <w:contextualSpacing/>
              <w:jc w:val="both"/>
              <w:rPr>
                <w:rFonts w:ascii="Verdana" w:eastAsia="Times New Roman" w:hAnsi="Verdana"/>
                <w:sz w:val="20"/>
                <w:szCs w:val="20"/>
                <w:lang w:eastAsia="cs-CZ"/>
              </w:rPr>
            </w:pPr>
          </w:p>
        </w:tc>
      </w:tr>
      <w:tr w:rsidR="006622C5" w:rsidRPr="00025B12" w:rsidTr="006D4D6F">
        <w:trPr>
          <w:jc w:val="center"/>
        </w:trPr>
        <w:tc>
          <w:tcPr>
            <w:tcW w:w="2518" w:type="dxa"/>
            <w:shd w:val="clear" w:color="auto" w:fill="663399"/>
          </w:tcPr>
          <w:p w:rsidR="006622C5" w:rsidRPr="00025B12" w:rsidRDefault="006622C5" w:rsidP="006D4D6F">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lastRenderedPageBreak/>
              <w:t>Zdroj:</w:t>
            </w:r>
          </w:p>
        </w:tc>
        <w:tc>
          <w:tcPr>
            <w:tcW w:w="6770" w:type="dxa"/>
          </w:tcPr>
          <w:p w:rsidR="006622C5" w:rsidRPr="00025B12" w:rsidRDefault="006622C5" w:rsidP="006D4D6F">
            <w:pPr>
              <w:spacing w:after="60" w:line="264" w:lineRule="auto"/>
              <w:jc w:val="both"/>
              <w:rPr>
                <w:rFonts w:ascii="Verdana" w:hAnsi="Verdana"/>
                <w:sz w:val="20"/>
                <w:szCs w:val="20"/>
              </w:rPr>
            </w:pPr>
            <w:r w:rsidRPr="00025B12">
              <w:rPr>
                <w:rFonts w:ascii="Verdana" w:hAnsi="Verdana"/>
                <w:sz w:val="20"/>
                <w:szCs w:val="20"/>
              </w:rPr>
              <w:t xml:space="preserve">Eurostat: </w:t>
            </w:r>
            <w:hyperlink r:id="rId61" w:history="1">
              <w:r w:rsidRPr="00025B12">
                <w:rPr>
                  <w:rStyle w:val="Hypertextovodkaz"/>
                  <w:rFonts w:ascii="Verdana" w:hAnsi="Verdana"/>
                  <w:sz w:val="20"/>
                  <w:szCs w:val="20"/>
                </w:rPr>
                <w:t>http://epp.eurostat.ec.europa.eu/cache/ITY_SDDS/en/lmp_esms.htm</w:t>
              </w:r>
            </w:hyperlink>
          </w:p>
        </w:tc>
      </w:tr>
    </w:tbl>
    <w:p w:rsidR="006622C5" w:rsidRPr="00025B12" w:rsidRDefault="006622C5" w:rsidP="00856DAF">
      <w:pPr>
        <w:spacing w:before="240" w:after="0" w:line="240" w:lineRule="auto"/>
        <w:contextualSpacing/>
        <w:jc w:val="both"/>
        <w:outlineLvl w:val="0"/>
        <w:rPr>
          <w:rFonts w:ascii="Verdana" w:eastAsia="Times New Roman" w:hAnsi="Verdana"/>
          <w:b/>
          <w:sz w:val="24"/>
          <w:szCs w:val="24"/>
          <w:lang w:eastAsia="cs-CZ"/>
        </w:rPr>
      </w:pPr>
    </w:p>
    <w:p w:rsidR="00856DAF" w:rsidRPr="00025B12" w:rsidRDefault="00B669F2" w:rsidP="00856DAF">
      <w:pPr>
        <w:spacing w:before="240" w:after="0" w:line="240" w:lineRule="auto"/>
        <w:contextualSpacing/>
        <w:jc w:val="both"/>
        <w:outlineLvl w:val="0"/>
        <w:rPr>
          <w:rFonts w:ascii="Verdana" w:eastAsia="Times New Roman" w:hAnsi="Verdana"/>
          <w:b/>
          <w:sz w:val="24"/>
          <w:szCs w:val="24"/>
          <w:lang w:eastAsia="cs-CZ"/>
        </w:rPr>
      </w:pPr>
      <w:r w:rsidRPr="00025B12">
        <w:rPr>
          <w:rFonts w:ascii="Verdana" w:eastAsia="Times New Roman" w:hAnsi="Verdana"/>
          <w:b/>
          <w:sz w:val="24"/>
          <w:szCs w:val="24"/>
          <w:lang w:eastAsia="cs-CZ"/>
        </w:rPr>
        <w:t>Šetření akreditovaných programů MŠMT</w:t>
      </w:r>
    </w:p>
    <w:p w:rsidR="00AF6928" w:rsidRPr="00025B12" w:rsidRDefault="00AF6928" w:rsidP="00856DAF">
      <w:pPr>
        <w:jc w:val="both"/>
        <w:outlineLvl w:val="0"/>
        <w:rPr>
          <w:rFonts w:ascii="Verdana" w:hAnsi="Verdana"/>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542932" w:rsidRPr="00025B12" w:rsidTr="00542932">
        <w:trPr>
          <w:jc w:val="center"/>
        </w:trPr>
        <w:tc>
          <w:tcPr>
            <w:tcW w:w="2518" w:type="dxa"/>
            <w:shd w:val="clear" w:color="auto" w:fill="663399"/>
          </w:tcPr>
          <w:p w:rsidR="00542932" w:rsidRPr="00025B12" w:rsidRDefault="00542932" w:rsidP="00542932">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542932" w:rsidRPr="00025B12" w:rsidRDefault="00574112" w:rsidP="00542932">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ÚIV</w:t>
            </w:r>
          </w:p>
        </w:tc>
      </w:tr>
      <w:tr w:rsidR="00542932" w:rsidRPr="00025B12" w:rsidTr="00542932">
        <w:trPr>
          <w:jc w:val="center"/>
        </w:trPr>
        <w:tc>
          <w:tcPr>
            <w:tcW w:w="2518" w:type="dxa"/>
            <w:shd w:val="clear" w:color="auto" w:fill="663399"/>
          </w:tcPr>
          <w:p w:rsidR="00542932" w:rsidRPr="00025B12" w:rsidRDefault="00542932" w:rsidP="00542932">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Cílová populace:</w:t>
            </w:r>
          </w:p>
        </w:tc>
        <w:tc>
          <w:tcPr>
            <w:tcW w:w="6770" w:type="dxa"/>
            <w:shd w:val="clear" w:color="auto" w:fill="663399"/>
          </w:tcPr>
          <w:p w:rsidR="00542932" w:rsidRPr="00025B12" w:rsidRDefault="00574112" w:rsidP="00574112">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Instituce, které mají akreditován u MŠMT program dalšího vzdělávání</w:t>
            </w:r>
          </w:p>
        </w:tc>
      </w:tr>
      <w:tr w:rsidR="00542932" w:rsidRPr="00025B12" w:rsidTr="00542932">
        <w:trPr>
          <w:jc w:val="center"/>
        </w:trPr>
        <w:tc>
          <w:tcPr>
            <w:tcW w:w="2518" w:type="dxa"/>
            <w:shd w:val="clear" w:color="auto" w:fill="663399"/>
          </w:tcPr>
          <w:p w:rsidR="00542932" w:rsidRPr="00025B12" w:rsidRDefault="00542932" w:rsidP="00542932">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542932" w:rsidRPr="00025B12" w:rsidRDefault="00574112" w:rsidP="00542932">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Roční (v minulosti s přestávkami)</w:t>
            </w:r>
          </w:p>
        </w:tc>
      </w:tr>
      <w:tr w:rsidR="00542932" w:rsidRPr="00025B12" w:rsidTr="00542932">
        <w:trPr>
          <w:jc w:val="center"/>
        </w:trPr>
        <w:tc>
          <w:tcPr>
            <w:tcW w:w="2518" w:type="dxa"/>
            <w:shd w:val="clear" w:color="auto" w:fill="663399"/>
          </w:tcPr>
          <w:p w:rsidR="00542932" w:rsidRPr="00025B12" w:rsidRDefault="00542932" w:rsidP="00542932">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Rozsah vzorku:</w:t>
            </w:r>
          </w:p>
        </w:tc>
        <w:tc>
          <w:tcPr>
            <w:tcW w:w="6770" w:type="dxa"/>
            <w:shd w:val="clear" w:color="auto" w:fill="663399"/>
          </w:tcPr>
          <w:p w:rsidR="00542932" w:rsidRPr="00025B12" w:rsidRDefault="00574112" w:rsidP="00542932">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750 organizací</w:t>
            </w:r>
          </w:p>
        </w:tc>
      </w:tr>
      <w:tr w:rsidR="00542932" w:rsidRPr="00025B12" w:rsidTr="00542932">
        <w:trPr>
          <w:jc w:val="center"/>
        </w:trPr>
        <w:tc>
          <w:tcPr>
            <w:tcW w:w="2518" w:type="dxa"/>
            <w:shd w:val="clear" w:color="auto" w:fill="663399"/>
          </w:tcPr>
          <w:p w:rsidR="00542932" w:rsidRPr="00025B12" w:rsidRDefault="00542932" w:rsidP="00542932">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542932" w:rsidRPr="00025B12" w:rsidRDefault="00574112" w:rsidP="00542932">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ČR</w:t>
            </w:r>
          </w:p>
        </w:tc>
      </w:tr>
      <w:tr w:rsidR="00542932" w:rsidRPr="00025B12" w:rsidTr="00542932">
        <w:trPr>
          <w:jc w:val="center"/>
        </w:trPr>
        <w:tc>
          <w:tcPr>
            <w:tcW w:w="9288" w:type="dxa"/>
            <w:gridSpan w:val="2"/>
          </w:tcPr>
          <w:p w:rsidR="00AA2874" w:rsidRPr="00025B12" w:rsidRDefault="00574112" w:rsidP="00AA2874">
            <w:pPr>
              <w:spacing w:before="240" w:after="0" w:line="240" w:lineRule="auto"/>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Sběr dat o akreditovaných a neakreditovaných kurzech dalšího vzdělávání je jedním z mála informačních zdrojů o dalším neformálním vzdělávání. Šetření pokrývá všechny subjekty, které měly v daném roce akreditován u MŠMT alespoň jeden program dalšího vzdělávání. Následně jsou dotazovány na informace o akreditovaných i neakreditovaných kurzech. </w:t>
            </w:r>
            <w:r w:rsidR="00AA2874" w:rsidRPr="00025B12">
              <w:rPr>
                <w:rFonts w:ascii="Verdana" w:eastAsia="Times New Roman" w:hAnsi="Verdana"/>
                <w:sz w:val="20"/>
                <w:szCs w:val="20"/>
                <w:lang w:eastAsia="cs-CZ"/>
              </w:rPr>
              <w:t>Nezahrnuje</w:t>
            </w:r>
            <w:r w:rsidRPr="00025B12">
              <w:rPr>
                <w:rFonts w:ascii="Verdana" w:eastAsia="Times New Roman" w:hAnsi="Verdana"/>
                <w:sz w:val="20"/>
                <w:szCs w:val="20"/>
                <w:lang w:eastAsia="cs-CZ"/>
              </w:rPr>
              <w:t xml:space="preserve"> ostatní instituce</w:t>
            </w:r>
            <w:r w:rsidR="00AA2874" w:rsidRPr="00025B12">
              <w:rPr>
                <w:rFonts w:ascii="Verdana" w:eastAsia="Times New Roman" w:hAnsi="Verdana"/>
                <w:sz w:val="20"/>
                <w:szCs w:val="20"/>
                <w:lang w:eastAsia="cs-CZ"/>
              </w:rPr>
              <w:t xml:space="preserve"> nabízející další vzdělávání</w:t>
            </w:r>
            <w:r w:rsidRPr="00025B12">
              <w:rPr>
                <w:rFonts w:ascii="Verdana" w:eastAsia="Times New Roman" w:hAnsi="Verdana"/>
                <w:sz w:val="20"/>
                <w:szCs w:val="20"/>
                <w:lang w:eastAsia="cs-CZ"/>
              </w:rPr>
              <w:t xml:space="preserve">, přesto </w:t>
            </w:r>
            <w:r w:rsidR="00AA2874" w:rsidRPr="00025B12">
              <w:rPr>
                <w:rFonts w:ascii="Verdana" w:eastAsia="Times New Roman" w:hAnsi="Verdana"/>
                <w:sz w:val="20"/>
                <w:szCs w:val="20"/>
                <w:lang w:eastAsia="cs-CZ"/>
              </w:rPr>
              <w:t>poměrně dobře pokrývá instituce poskytující další neformální vzdělávání, které spadají do různých odvětví činnosti a je velmi těžké je jako cílovou skupinu zachytit.</w:t>
            </w:r>
          </w:p>
          <w:p w:rsidR="000A2055" w:rsidRPr="00025B12" w:rsidRDefault="000A2055" w:rsidP="00AA2874">
            <w:pPr>
              <w:spacing w:before="240" w:after="0" w:line="240" w:lineRule="auto"/>
              <w:contextualSpacing/>
              <w:jc w:val="both"/>
              <w:rPr>
                <w:rFonts w:ascii="Verdana" w:eastAsia="Times New Roman" w:hAnsi="Verdana"/>
                <w:sz w:val="20"/>
                <w:szCs w:val="20"/>
                <w:lang w:eastAsia="cs-CZ"/>
              </w:rPr>
            </w:pPr>
            <w:r w:rsidRPr="00025B12">
              <w:rPr>
                <w:rFonts w:ascii="Verdana" w:eastAsia="Times New Roman" w:hAnsi="Verdana"/>
                <w:sz w:val="20"/>
                <w:szCs w:val="20"/>
                <w:lang w:eastAsia="cs-CZ"/>
              </w:rPr>
              <w:t xml:space="preserve">Jedná se o výběrové šetření, u kterého neplatí </w:t>
            </w:r>
            <w:r w:rsidR="00B669F2" w:rsidRPr="00025B12">
              <w:rPr>
                <w:rFonts w:ascii="Verdana" w:eastAsia="Times New Roman" w:hAnsi="Verdana"/>
                <w:sz w:val="20"/>
                <w:szCs w:val="20"/>
                <w:lang w:eastAsia="cs-CZ"/>
              </w:rPr>
              <w:t>zpravodajská povinnost, což způsobuje problémy s návratností. V roce 2010 byla návratnost již 48 %, což je poměrně standardní, v předchozích letech však byla výrazně nižší.</w:t>
            </w:r>
          </w:p>
        </w:tc>
      </w:tr>
      <w:tr w:rsidR="00542932" w:rsidRPr="00025B12" w:rsidTr="00542932">
        <w:trPr>
          <w:jc w:val="center"/>
        </w:trPr>
        <w:tc>
          <w:tcPr>
            <w:tcW w:w="2518" w:type="dxa"/>
            <w:shd w:val="clear" w:color="auto" w:fill="663399"/>
          </w:tcPr>
          <w:p w:rsidR="00542932" w:rsidRPr="00025B12" w:rsidRDefault="00542932" w:rsidP="00542932">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Dotazník:</w:t>
            </w:r>
          </w:p>
        </w:tc>
        <w:tc>
          <w:tcPr>
            <w:tcW w:w="6770" w:type="dxa"/>
          </w:tcPr>
          <w:p w:rsidR="00542932" w:rsidRPr="00025B12" w:rsidRDefault="00926BE6" w:rsidP="00542932">
            <w:pPr>
              <w:spacing w:after="60" w:line="264" w:lineRule="auto"/>
              <w:jc w:val="both"/>
              <w:rPr>
                <w:rFonts w:ascii="Verdana" w:eastAsia="Times New Roman" w:hAnsi="Verdana"/>
                <w:sz w:val="20"/>
                <w:szCs w:val="20"/>
                <w:lang w:eastAsia="cs-CZ"/>
              </w:rPr>
            </w:pPr>
            <w:r w:rsidRPr="00025B12">
              <w:rPr>
                <w:rFonts w:ascii="Verdana" w:eastAsia="Times New Roman" w:hAnsi="Verdana"/>
                <w:sz w:val="20"/>
                <w:szCs w:val="20"/>
                <w:lang w:eastAsia="cs-CZ"/>
              </w:rPr>
              <w:t>Viz jednotlivé zprávy</w:t>
            </w:r>
          </w:p>
        </w:tc>
      </w:tr>
      <w:tr w:rsidR="00542932" w:rsidRPr="00025B12" w:rsidTr="00542932">
        <w:trPr>
          <w:jc w:val="center"/>
        </w:trPr>
        <w:tc>
          <w:tcPr>
            <w:tcW w:w="2518" w:type="dxa"/>
            <w:shd w:val="clear" w:color="auto" w:fill="663399"/>
          </w:tcPr>
          <w:p w:rsidR="00542932" w:rsidRPr="00025B12" w:rsidRDefault="00542932" w:rsidP="00542932">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Zdroj:</w:t>
            </w:r>
          </w:p>
        </w:tc>
        <w:tc>
          <w:tcPr>
            <w:tcW w:w="6770" w:type="dxa"/>
          </w:tcPr>
          <w:p w:rsidR="00542932" w:rsidRPr="00025B12" w:rsidRDefault="00B669F2" w:rsidP="00542932">
            <w:pPr>
              <w:spacing w:after="60" w:line="264" w:lineRule="auto"/>
              <w:jc w:val="both"/>
              <w:rPr>
                <w:rFonts w:ascii="Verdana" w:hAnsi="Verdana"/>
                <w:sz w:val="20"/>
                <w:szCs w:val="20"/>
              </w:rPr>
            </w:pPr>
            <w:r w:rsidRPr="00025B12">
              <w:rPr>
                <w:rFonts w:ascii="Verdana" w:hAnsi="Verdana"/>
                <w:sz w:val="20"/>
                <w:szCs w:val="20"/>
              </w:rPr>
              <w:t xml:space="preserve">MŠMT: </w:t>
            </w:r>
            <w:hyperlink r:id="rId62" w:history="1">
              <w:r w:rsidRPr="00025B12">
                <w:rPr>
                  <w:rStyle w:val="Hypertextovodkaz"/>
                  <w:rFonts w:ascii="Verdana" w:hAnsi="Verdana"/>
                  <w:sz w:val="20"/>
                  <w:szCs w:val="20"/>
                </w:rPr>
                <w:t>http://www.msmt.cz/vzdelavani/pruzkum-akreditaci-msmt-k-rekvalifikacim-za-rok-2002-1</w:t>
              </w:r>
            </w:hyperlink>
          </w:p>
        </w:tc>
      </w:tr>
    </w:tbl>
    <w:p w:rsidR="00542932" w:rsidRPr="00025B12" w:rsidRDefault="00542932" w:rsidP="00856DAF">
      <w:pPr>
        <w:jc w:val="both"/>
        <w:outlineLvl w:val="0"/>
        <w:rPr>
          <w:rFonts w:ascii="Verdana" w:hAnsi="Verdana"/>
          <w:b/>
          <w:sz w:val="20"/>
          <w:szCs w:val="20"/>
        </w:rPr>
      </w:pPr>
    </w:p>
    <w:p w:rsidR="006D2985" w:rsidRPr="00025B12" w:rsidRDefault="006D2985" w:rsidP="00856DAF">
      <w:pPr>
        <w:spacing w:before="240" w:after="0" w:line="240" w:lineRule="auto"/>
        <w:contextualSpacing/>
        <w:jc w:val="both"/>
        <w:outlineLvl w:val="0"/>
        <w:rPr>
          <w:rFonts w:ascii="Verdana" w:eastAsia="Times New Roman" w:hAnsi="Verdana"/>
          <w:b/>
          <w:sz w:val="24"/>
          <w:szCs w:val="24"/>
          <w:lang w:eastAsia="cs-CZ"/>
        </w:rPr>
      </w:pPr>
      <w:bookmarkStart w:id="166" w:name="SET"/>
    </w:p>
    <w:p w:rsidR="00160234" w:rsidRPr="00025B12" w:rsidRDefault="00160234" w:rsidP="00856DAF">
      <w:pPr>
        <w:spacing w:before="240" w:after="0" w:line="240" w:lineRule="auto"/>
        <w:contextualSpacing/>
        <w:jc w:val="both"/>
        <w:outlineLvl w:val="0"/>
        <w:rPr>
          <w:rFonts w:ascii="Verdana" w:eastAsia="Times New Roman" w:hAnsi="Verdana"/>
          <w:b/>
          <w:sz w:val="24"/>
          <w:szCs w:val="24"/>
          <w:lang w:eastAsia="cs-CZ"/>
        </w:rPr>
      </w:pPr>
      <w:r w:rsidRPr="00025B12">
        <w:rPr>
          <w:rFonts w:ascii="Verdana" w:eastAsia="Times New Roman" w:hAnsi="Verdana"/>
          <w:b/>
          <w:sz w:val="24"/>
          <w:szCs w:val="24"/>
          <w:lang w:eastAsia="cs-CZ"/>
        </w:rPr>
        <w:t>SET</w:t>
      </w:r>
      <w:r w:rsidR="00750F52" w:rsidRPr="00025B12">
        <w:rPr>
          <w:rFonts w:ascii="Verdana" w:eastAsia="Times New Roman" w:hAnsi="Verdana"/>
          <w:b/>
          <w:sz w:val="24"/>
          <w:szCs w:val="24"/>
          <w:lang w:eastAsia="cs-CZ"/>
        </w:rPr>
        <w:t xml:space="preserve"> středních škol a SET Vyšších odborných škol</w:t>
      </w:r>
    </w:p>
    <w:p w:rsidR="00750F52" w:rsidRPr="00025B12" w:rsidRDefault="00750F52" w:rsidP="00856DAF">
      <w:pPr>
        <w:spacing w:before="240" w:after="0" w:line="240" w:lineRule="auto"/>
        <w:contextualSpacing/>
        <w:jc w:val="both"/>
        <w:outlineLvl w:val="0"/>
        <w:rPr>
          <w:rFonts w:ascii="Verdana" w:eastAsia="Times New Roman" w:hAnsi="Verdana"/>
          <w:b/>
          <w:sz w:val="24"/>
          <w:szCs w:val="24"/>
          <w:lang w:eastAsia="cs-C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750F52" w:rsidRPr="00025B12" w:rsidTr="00750F52">
        <w:trPr>
          <w:jc w:val="center"/>
        </w:trPr>
        <w:tc>
          <w:tcPr>
            <w:tcW w:w="2518" w:type="dxa"/>
            <w:shd w:val="clear" w:color="auto" w:fill="663399"/>
          </w:tcPr>
          <w:p w:rsidR="00750F52" w:rsidRPr="00025B12" w:rsidRDefault="00750F52" w:rsidP="00750F52">
            <w:pPr>
              <w:spacing w:after="60" w:line="264" w:lineRule="auto"/>
              <w:jc w:val="both"/>
              <w:rPr>
                <w:rFonts w:ascii="Verdana" w:eastAsia="Times New Roman" w:hAnsi="Verdana"/>
                <w:b/>
                <w:color w:val="FFFFFF"/>
                <w:sz w:val="20"/>
                <w:szCs w:val="20"/>
                <w:lang w:eastAsia="cs-CZ"/>
              </w:rPr>
            </w:pPr>
            <w:bookmarkStart w:id="167" w:name="Rating"/>
            <w:bookmarkEnd w:id="166"/>
            <w:r w:rsidRPr="00025B12">
              <w:rPr>
                <w:rFonts w:ascii="Verdana" w:eastAsia="Times New Roman" w:hAnsi="Verdana"/>
                <w:b/>
                <w:color w:val="FFFFFF"/>
                <w:sz w:val="20"/>
                <w:szCs w:val="20"/>
                <w:lang w:eastAsia="cs-CZ"/>
              </w:rPr>
              <w:t>Realizátor:</w:t>
            </w:r>
          </w:p>
        </w:tc>
        <w:tc>
          <w:tcPr>
            <w:tcW w:w="6770" w:type="dxa"/>
            <w:shd w:val="clear" w:color="auto" w:fill="663399"/>
          </w:tcPr>
          <w:p w:rsidR="00750F52" w:rsidRPr="00025B12" w:rsidRDefault="00750F52" w:rsidP="00750F52">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ÚIV</w:t>
            </w:r>
          </w:p>
        </w:tc>
      </w:tr>
      <w:tr w:rsidR="00750F52" w:rsidRPr="00025B12" w:rsidTr="00750F52">
        <w:trPr>
          <w:jc w:val="center"/>
        </w:trPr>
        <w:tc>
          <w:tcPr>
            <w:tcW w:w="2518" w:type="dxa"/>
            <w:shd w:val="clear" w:color="auto" w:fill="663399"/>
          </w:tcPr>
          <w:p w:rsidR="00750F52" w:rsidRPr="00025B12" w:rsidRDefault="00750F52" w:rsidP="00750F52">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Cílová populace:</w:t>
            </w:r>
          </w:p>
        </w:tc>
        <w:tc>
          <w:tcPr>
            <w:tcW w:w="6770" w:type="dxa"/>
            <w:shd w:val="clear" w:color="auto" w:fill="663399"/>
          </w:tcPr>
          <w:p w:rsidR="00750F52" w:rsidRPr="00025B12" w:rsidRDefault="00750F52" w:rsidP="00750F52">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Střední školy, konzervatoře a vyšší odborné školy</w:t>
            </w:r>
          </w:p>
        </w:tc>
      </w:tr>
      <w:tr w:rsidR="00750F52" w:rsidRPr="00025B12" w:rsidTr="00750F52">
        <w:trPr>
          <w:jc w:val="center"/>
        </w:trPr>
        <w:tc>
          <w:tcPr>
            <w:tcW w:w="2518" w:type="dxa"/>
            <w:shd w:val="clear" w:color="auto" w:fill="663399"/>
          </w:tcPr>
          <w:p w:rsidR="00750F52" w:rsidRPr="00025B12" w:rsidRDefault="00750F52" w:rsidP="00750F52">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750F52" w:rsidRPr="00025B12" w:rsidRDefault="00750F52" w:rsidP="00750F52">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Roční</w:t>
            </w:r>
          </w:p>
        </w:tc>
      </w:tr>
      <w:tr w:rsidR="00750F52" w:rsidRPr="00025B12" w:rsidTr="00750F52">
        <w:trPr>
          <w:jc w:val="center"/>
        </w:trPr>
        <w:tc>
          <w:tcPr>
            <w:tcW w:w="2518" w:type="dxa"/>
            <w:shd w:val="clear" w:color="auto" w:fill="663399"/>
          </w:tcPr>
          <w:p w:rsidR="00750F52" w:rsidRPr="00025B12" w:rsidRDefault="00750F52" w:rsidP="00750F52">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750F52" w:rsidRPr="00025B12" w:rsidRDefault="00750F52" w:rsidP="00750F52">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ČR</w:t>
            </w:r>
          </w:p>
        </w:tc>
      </w:tr>
      <w:tr w:rsidR="00750F52" w:rsidRPr="00025B12" w:rsidTr="00750F52">
        <w:trPr>
          <w:jc w:val="center"/>
        </w:trPr>
        <w:tc>
          <w:tcPr>
            <w:tcW w:w="9288" w:type="dxa"/>
            <w:gridSpan w:val="2"/>
          </w:tcPr>
          <w:p w:rsidR="00750F52" w:rsidRPr="00025B12" w:rsidRDefault="00750F52" w:rsidP="00750F52">
            <w:pPr>
              <w:jc w:val="both"/>
              <w:rPr>
                <w:rFonts w:ascii="Verdana" w:eastAsia="Times New Roman" w:hAnsi="Verdana"/>
                <w:sz w:val="20"/>
                <w:szCs w:val="20"/>
                <w:lang w:eastAsia="cs-CZ"/>
              </w:rPr>
            </w:pPr>
            <w:r w:rsidRPr="00025B12">
              <w:rPr>
                <w:rFonts w:ascii="Verdana" w:eastAsia="Times New Roman" w:hAnsi="Verdana"/>
                <w:sz w:val="20"/>
                <w:szCs w:val="20"/>
                <w:lang w:eastAsia="cs-CZ"/>
              </w:rPr>
              <w:t>Význam pro monitoring dalšího vzdělávání:</w:t>
            </w:r>
          </w:p>
          <w:p w:rsidR="00750F52" w:rsidRPr="00025B12" w:rsidRDefault="00750F52" w:rsidP="00FF4276">
            <w:pPr>
              <w:jc w:val="both"/>
              <w:rPr>
                <w:rFonts w:ascii="Verdana" w:eastAsia="Times New Roman" w:hAnsi="Verdana"/>
                <w:sz w:val="20"/>
                <w:szCs w:val="20"/>
                <w:lang w:eastAsia="cs-CZ"/>
              </w:rPr>
            </w:pPr>
            <w:r w:rsidRPr="00025B12">
              <w:rPr>
                <w:rFonts w:ascii="Verdana" w:eastAsia="Times New Roman" w:hAnsi="Verdana"/>
                <w:sz w:val="20"/>
                <w:szCs w:val="20"/>
                <w:lang w:eastAsia="cs-CZ"/>
              </w:rPr>
              <w:t>Dobr</w:t>
            </w:r>
            <w:r w:rsidR="00FF4276" w:rsidRPr="00025B12">
              <w:rPr>
                <w:rFonts w:ascii="Verdana" w:eastAsia="Times New Roman" w:hAnsi="Verdana"/>
                <w:sz w:val="20"/>
                <w:szCs w:val="20"/>
                <w:lang w:eastAsia="cs-CZ"/>
              </w:rPr>
              <w:t xml:space="preserve">ovolné šetření Ústavu pro informace ve vzdělávání již od roku 1996 pravidelně monitoruje otevírané obory středních a vyšších odborných škol. K dispozici jsou zde i informace o formě studia (denní, dálková, večerní, kombinovaná, distanční) a počtu otevíraných míst. Od roku 2006 pro střední školy a od roku 2010 pro vyšší </w:t>
            </w:r>
            <w:r w:rsidR="00E26E2D" w:rsidRPr="00025B12">
              <w:rPr>
                <w:rFonts w:ascii="Verdana" w:eastAsia="Times New Roman" w:hAnsi="Verdana"/>
                <w:sz w:val="20"/>
                <w:szCs w:val="20"/>
                <w:lang w:eastAsia="cs-CZ"/>
              </w:rPr>
              <w:t>odborné</w:t>
            </w:r>
            <w:r w:rsidR="00FF4276" w:rsidRPr="00025B12">
              <w:rPr>
                <w:rFonts w:ascii="Verdana" w:eastAsia="Times New Roman" w:hAnsi="Verdana"/>
                <w:sz w:val="20"/>
                <w:szCs w:val="20"/>
                <w:lang w:eastAsia="cs-CZ"/>
              </w:rPr>
              <w:t xml:space="preserve"> školy jsou tyto údaje k dispozici v online databázi. </w:t>
            </w:r>
          </w:p>
        </w:tc>
      </w:tr>
      <w:tr w:rsidR="00750F52" w:rsidRPr="00025B12" w:rsidTr="00750F52">
        <w:trPr>
          <w:jc w:val="center"/>
        </w:trPr>
        <w:tc>
          <w:tcPr>
            <w:tcW w:w="2518" w:type="dxa"/>
            <w:shd w:val="clear" w:color="auto" w:fill="663399"/>
          </w:tcPr>
          <w:p w:rsidR="00750F52" w:rsidRPr="00025B12" w:rsidRDefault="00750F52" w:rsidP="00750F52">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lastRenderedPageBreak/>
              <w:t>Zdroj:</w:t>
            </w:r>
          </w:p>
        </w:tc>
        <w:tc>
          <w:tcPr>
            <w:tcW w:w="6770" w:type="dxa"/>
          </w:tcPr>
          <w:p w:rsidR="00750F52" w:rsidRPr="00025B12" w:rsidRDefault="00FF4276" w:rsidP="00750F52">
            <w:pPr>
              <w:spacing w:after="60" w:line="264" w:lineRule="auto"/>
              <w:jc w:val="both"/>
              <w:rPr>
                <w:rFonts w:ascii="Verdana" w:hAnsi="Verdana"/>
                <w:sz w:val="20"/>
                <w:szCs w:val="20"/>
              </w:rPr>
            </w:pPr>
            <w:r w:rsidRPr="00025B12">
              <w:rPr>
                <w:rFonts w:ascii="Verdana" w:hAnsi="Verdana"/>
                <w:sz w:val="20"/>
                <w:szCs w:val="20"/>
              </w:rPr>
              <w:t xml:space="preserve">ÚIV: </w:t>
            </w:r>
            <w:hyperlink r:id="rId63" w:history="1">
              <w:r w:rsidRPr="00025B12">
                <w:rPr>
                  <w:rStyle w:val="Hypertextovodkaz"/>
                  <w:rFonts w:ascii="Verdana" w:hAnsi="Verdana"/>
                  <w:sz w:val="20"/>
                  <w:szCs w:val="20"/>
                </w:rPr>
                <w:t>http://delta.uiv.cz/set11/vybskols.asp</w:t>
              </w:r>
            </w:hyperlink>
          </w:p>
          <w:p w:rsidR="00FF4276" w:rsidRPr="00025B12" w:rsidRDefault="00FF4276" w:rsidP="00750F52">
            <w:pPr>
              <w:spacing w:after="60" w:line="264" w:lineRule="auto"/>
              <w:jc w:val="both"/>
            </w:pPr>
            <w:r w:rsidRPr="00025B12">
              <w:rPr>
                <w:rFonts w:ascii="Verdana" w:hAnsi="Verdana"/>
                <w:sz w:val="20"/>
                <w:szCs w:val="20"/>
              </w:rPr>
              <w:t xml:space="preserve">ÚIV: </w:t>
            </w:r>
            <w:hyperlink r:id="rId64" w:history="1">
              <w:r w:rsidRPr="00025B12">
                <w:rPr>
                  <w:rStyle w:val="Hypertextovodkaz"/>
                  <w:rFonts w:ascii="Verdana" w:hAnsi="Verdana"/>
                  <w:sz w:val="20"/>
                  <w:szCs w:val="20"/>
                </w:rPr>
                <w:t>http://delta.uiv.cz/set11_vos/vybskols_VOS.asp</w:t>
              </w:r>
            </w:hyperlink>
          </w:p>
        </w:tc>
      </w:tr>
    </w:tbl>
    <w:p w:rsidR="005F624B" w:rsidRPr="00025B12" w:rsidRDefault="005F624B" w:rsidP="00856DAF">
      <w:pPr>
        <w:spacing w:before="240" w:after="0" w:line="240" w:lineRule="auto"/>
        <w:contextualSpacing/>
        <w:jc w:val="both"/>
        <w:outlineLvl w:val="0"/>
        <w:rPr>
          <w:rFonts w:ascii="Verdana" w:eastAsia="Times New Roman" w:hAnsi="Verdana"/>
          <w:b/>
          <w:sz w:val="24"/>
          <w:szCs w:val="24"/>
          <w:lang w:eastAsia="cs-CZ"/>
        </w:rPr>
      </w:pPr>
    </w:p>
    <w:p w:rsidR="006135C3" w:rsidRPr="00025B12" w:rsidRDefault="006135C3" w:rsidP="006135C3">
      <w:pPr>
        <w:spacing w:before="240" w:after="0" w:line="240" w:lineRule="auto"/>
        <w:contextualSpacing/>
        <w:jc w:val="both"/>
        <w:outlineLvl w:val="0"/>
        <w:rPr>
          <w:rFonts w:ascii="Verdana" w:eastAsia="Times New Roman" w:hAnsi="Verdana"/>
          <w:b/>
          <w:sz w:val="24"/>
          <w:szCs w:val="24"/>
          <w:lang w:eastAsia="cs-CZ"/>
        </w:rPr>
      </w:pPr>
      <w:r w:rsidRPr="00025B12">
        <w:rPr>
          <w:rFonts w:ascii="Verdana" w:eastAsia="Times New Roman" w:hAnsi="Verdana"/>
          <w:b/>
          <w:sz w:val="24"/>
          <w:szCs w:val="24"/>
          <w:lang w:eastAsia="cs-CZ"/>
        </w:rPr>
        <w:t>ICT Usage in Enterprises</w:t>
      </w:r>
    </w:p>
    <w:p w:rsidR="006135C3" w:rsidRPr="00025B12" w:rsidRDefault="006135C3" w:rsidP="006135C3">
      <w:pPr>
        <w:jc w:val="both"/>
        <w:outlineLvl w:val="0"/>
        <w:rPr>
          <w:rFonts w:ascii="Verdana" w:hAnsi="Verdana"/>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770"/>
      </w:tblGrid>
      <w:tr w:rsidR="006135C3" w:rsidRPr="00025B12" w:rsidTr="00622E67">
        <w:trPr>
          <w:jc w:val="center"/>
        </w:trPr>
        <w:tc>
          <w:tcPr>
            <w:tcW w:w="2518" w:type="dxa"/>
            <w:shd w:val="clear" w:color="auto" w:fill="663399"/>
          </w:tcPr>
          <w:p w:rsidR="006135C3" w:rsidRPr="00025B12" w:rsidRDefault="006135C3"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Realizátor:</w:t>
            </w:r>
          </w:p>
        </w:tc>
        <w:tc>
          <w:tcPr>
            <w:tcW w:w="6770" w:type="dxa"/>
            <w:shd w:val="clear" w:color="auto" w:fill="663399"/>
          </w:tcPr>
          <w:p w:rsidR="006135C3" w:rsidRPr="00025B12" w:rsidRDefault="006135C3"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ČSÚ/Eurostat</w:t>
            </w:r>
          </w:p>
        </w:tc>
      </w:tr>
      <w:tr w:rsidR="006135C3" w:rsidRPr="00025B12" w:rsidTr="00622E67">
        <w:trPr>
          <w:jc w:val="center"/>
        </w:trPr>
        <w:tc>
          <w:tcPr>
            <w:tcW w:w="2518" w:type="dxa"/>
            <w:shd w:val="clear" w:color="auto" w:fill="663399"/>
          </w:tcPr>
          <w:p w:rsidR="006135C3" w:rsidRPr="00025B12" w:rsidRDefault="006135C3"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Cílová populace:</w:t>
            </w:r>
          </w:p>
        </w:tc>
        <w:tc>
          <w:tcPr>
            <w:tcW w:w="6770" w:type="dxa"/>
            <w:shd w:val="clear" w:color="auto" w:fill="663399"/>
          </w:tcPr>
          <w:p w:rsidR="006135C3" w:rsidRPr="00025B12" w:rsidRDefault="006135C3"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Ekonomické subjekty s 10 a více zaměstnanými osobami ve vybraných ekonomických odvětvích, volitelně i s 1-9 zaměstnanými osobami</w:t>
            </w:r>
          </w:p>
        </w:tc>
      </w:tr>
      <w:tr w:rsidR="006135C3" w:rsidRPr="00025B12" w:rsidTr="00622E67">
        <w:trPr>
          <w:jc w:val="center"/>
        </w:trPr>
        <w:tc>
          <w:tcPr>
            <w:tcW w:w="2518" w:type="dxa"/>
            <w:shd w:val="clear" w:color="auto" w:fill="663399"/>
          </w:tcPr>
          <w:p w:rsidR="006135C3" w:rsidRPr="00025B12" w:rsidRDefault="006135C3"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Periodicita:</w:t>
            </w:r>
          </w:p>
        </w:tc>
        <w:tc>
          <w:tcPr>
            <w:tcW w:w="6770" w:type="dxa"/>
            <w:shd w:val="clear" w:color="auto" w:fill="663399"/>
          </w:tcPr>
          <w:p w:rsidR="006135C3" w:rsidRPr="00025B12" w:rsidRDefault="006135C3"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roční</w:t>
            </w:r>
          </w:p>
        </w:tc>
      </w:tr>
      <w:tr w:rsidR="006135C3" w:rsidRPr="00025B12" w:rsidTr="00622E67">
        <w:trPr>
          <w:jc w:val="center"/>
        </w:trPr>
        <w:tc>
          <w:tcPr>
            <w:tcW w:w="2518" w:type="dxa"/>
            <w:shd w:val="clear" w:color="auto" w:fill="663399"/>
          </w:tcPr>
          <w:p w:rsidR="006135C3" w:rsidRPr="00025B12" w:rsidRDefault="006135C3"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Rozsah vzorku:</w:t>
            </w:r>
          </w:p>
        </w:tc>
        <w:tc>
          <w:tcPr>
            <w:tcW w:w="6770" w:type="dxa"/>
            <w:shd w:val="clear" w:color="auto" w:fill="663399"/>
          </w:tcPr>
          <w:p w:rsidR="006135C3" w:rsidRPr="00025B12" w:rsidRDefault="006135C3"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8600, plošně pro podniky nad 250 zaměstnaných, výběrově podniky s 10-249 zaměstnanými</w:t>
            </w:r>
          </w:p>
        </w:tc>
      </w:tr>
      <w:tr w:rsidR="006135C3" w:rsidRPr="00025B12" w:rsidTr="00622E67">
        <w:trPr>
          <w:jc w:val="center"/>
        </w:trPr>
        <w:tc>
          <w:tcPr>
            <w:tcW w:w="2518" w:type="dxa"/>
            <w:shd w:val="clear" w:color="auto" w:fill="663399"/>
          </w:tcPr>
          <w:p w:rsidR="006135C3" w:rsidRPr="00025B12" w:rsidRDefault="006135C3"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Regionální pokrytí:</w:t>
            </w:r>
          </w:p>
        </w:tc>
        <w:tc>
          <w:tcPr>
            <w:tcW w:w="6770" w:type="dxa"/>
            <w:shd w:val="clear" w:color="auto" w:fill="663399"/>
          </w:tcPr>
          <w:p w:rsidR="006135C3" w:rsidRPr="00025B12" w:rsidRDefault="006135C3" w:rsidP="00622E67">
            <w:pPr>
              <w:spacing w:after="60" w:line="264" w:lineRule="auto"/>
              <w:jc w:val="both"/>
              <w:rPr>
                <w:rFonts w:ascii="Verdana" w:eastAsia="Times New Roman" w:hAnsi="Verdana"/>
                <w:color w:val="FFFFFF"/>
                <w:sz w:val="20"/>
                <w:szCs w:val="20"/>
                <w:lang w:eastAsia="cs-CZ"/>
              </w:rPr>
            </w:pPr>
            <w:r w:rsidRPr="00025B12">
              <w:rPr>
                <w:rFonts w:ascii="Verdana" w:eastAsia="Times New Roman" w:hAnsi="Verdana"/>
                <w:color w:val="FFFFFF"/>
                <w:sz w:val="20"/>
                <w:szCs w:val="20"/>
                <w:lang w:eastAsia="cs-CZ"/>
              </w:rPr>
              <w:t>mezinárodní</w:t>
            </w:r>
          </w:p>
        </w:tc>
      </w:tr>
      <w:tr w:rsidR="006135C3" w:rsidRPr="00025B12" w:rsidTr="00622E67">
        <w:trPr>
          <w:jc w:val="center"/>
        </w:trPr>
        <w:tc>
          <w:tcPr>
            <w:tcW w:w="9288" w:type="dxa"/>
            <w:gridSpan w:val="2"/>
          </w:tcPr>
          <w:p w:rsidR="006135C3" w:rsidRPr="00025B12" w:rsidRDefault="006135C3" w:rsidP="00622E67">
            <w:pPr>
              <w:jc w:val="both"/>
              <w:rPr>
                <w:rFonts w:ascii="Verdana" w:eastAsia="Times New Roman" w:hAnsi="Verdana"/>
                <w:sz w:val="20"/>
                <w:szCs w:val="20"/>
                <w:lang w:eastAsia="cs-CZ"/>
              </w:rPr>
            </w:pPr>
            <w:r w:rsidRPr="00025B12">
              <w:rPr>
                <w:rFonts w:ascii="Verdana" w:eastAsia="Times New Roman" w:hAnsi="Verdana"/>
                <w:sz w:val="20"/>
                <w:szCs w:val="20"/>
                <w:lang w:eastAsia="cs-CZ"/>
              </w:rPr>
              <w:t>Význam pro monitoring dalšího vzdělávání:</w:t>
            </w:r>
          </w:p>
          <w:p w:rsidR="006135C3" w:rsidRPr="00025B12" w:rsidRDefault="006135C3" w:rsidP="00622E67">
            <w:pPr>
              <w:spacing w:before="240" w:after="0" w:line="240" w:lineRule="auto"/>
              <w:contextualSpacing/>
              <w:jc w:val="both"/>
              <w:rPr>
                <w:rFonts w:ascii="Verdana" w:hAnsi="Verdana"/>
                <w:sz w:val="20"/>
                <w:szCs w:val="20"/>
              </w:rPr>
            </w:pPr>
            <w:r w:rsidRPr="00025B12">
              <w:rPr>
                <w:rFonts w:ascii="Verdana" w:eastAsia="Times New Roman" w:hAnsi="Verdana"/>
                <w:sz w:val="20"/>
                <w:szCs w:val="20"/>
                <w:lang w:eastAsia="cs-CZ"/>
              </w:rPr>
              <w:t xml:space="preserve">Výzkum využívání ICT v podnicích se realizuje v odvětvích dle hlavní činnosti subjektu NACE Rev.2 C-L, N a 69-74 a </w:t>
            </w:r>
            <w:r w:rsidRPr="00025B12">
              <w:rPr>
                <w:rFonts w:ascii="Verdana" w:hAnsi="Verdana"/>
                <w:sz w:val="20"/>
                <w:szCs w:val="20"/>
              </w:rPr>
              <w:t xml:space="preserve">64.19 + 64.92 + 65.1 + 65.2 + 66.12 + 66.19. </w:t>
            </w:r>
          </w:p>
          <w:p w:rsidR="006135C3" w:rsidRPr="00025B12" w:rsidRDefault="006135C3" w:rsidP="00622E67">
            <w:pPr>
              <w:spacing w:before="240" w:after="0" w:line="240" w:lineRule="auto"/>
              <w:contextualSpacing/>
              <w:jc w:val="both"/>
              <w:rPr>
                <w:rFonts w:ascii="Verdana" w:eastAsia="Times New Roman" w:hAnsi="Verdana"/>
                <w:sz w:val="20"/>
                <w:szCs w:val="20"/>
                <w:lang w:eastAsia="cs-CZ"/>
              </w:rPr>
            </w:pPr>
            <w:r w:rsidRPr="00025B12">
              <w:rPr>
                <w:rFonts w:ascii="Verdana" w:hAnsi="Verdana"/>
                <w:sz w:val="20"/>
                <w:szCs w:val="20"/>
              </w:rPr>
              <w:t>Kromě různých informací o využívání ICT je zde také informace o tom, zda využíval Internet za účelem školení zaměstnanců.</w:t>
            </w:r>
          </w:p>
        </w:tc>
      </w:tr>
      <w:tr w:rsidR="006135C3" w:rsidRPr="00025B12" w:rsidTr="00622E67">
        <w:trPr>
          <w:jc w:val="center"/>
        </w:trPr>
        <w:tc>
          <w:tcPr>
            <w:tcW w:w="2518" w:type="dxa"/>
            <w:shd w:val="clear" w:color="auto" w:fill="663399"/>
          </w:tcPr>
          <w:p w:rsidR="006135C3" w:rsidRPr="00025B12" w:rsidRDefault="006135C3"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Dotazník:</w:t>
            </w:r>
          </w:p>
        </w:tc>
        <w:tc>
          <w:tcPr>
            <w:tcW w:w="6770" w:type="dxa"/>
          </w:tcPr>
          <w:p w:rsidR="006135C3" w:rsidRPr="00025B12" w:rsidRDefault="006135C3" w:rsidP="00622E67">
            <w:pPr>
              <w:spacing w:after="60" w:line="264" w:lineRule="auto"/>
              <w:jc w:val="both"/>
              <w:rPr>
                <w:rFonts w:ascii="Verdana" w:hAnsi="Verdana"/>
                <w:sz w:val="20"/>
                <w:szCs w:val="20"/>
              </w:rPr>
            </w:pPr>
            <w:r w:rsidRPr="00025B12">
              <w:rPr>
                <w:rFonts w:ascii="Verdana" w:hAnsi="Verdana"/>
                <w:sz w:val="20"/>
                <w:szCs w:val="20"/>
              </w:rPr>
              <w:t xml:space="preserve">AJ: </w:t>
            </w:r>
            <w:hyperlink r:id="rId65" w:history="1">
              <w:r w:rsidRPr="00025B12">
                <w:rPr>
                  <w:rStyle w:val="Hypertextovodkaz"/>
                  <w:rFonts w:ascii="Verdana" w:hAnsi="Verdana"/>
                  <w:sz w:val="20"/>
                  <w:szCs w:val="20"/>
                </w:rPr>
                <w:t>http://circa.europa.eu/Public/irc/dsis/emisannexes/library?l=/data_-_database/theme_3_-_popul/isoc/householdsindiv&amp;vm=detailed&amp;sb=Title</w:t>
              </w:r>
            </w:hyperlink>
          </w:p>
          <w:p w:rsidR="006135C3" w:rsidRPr="00025B12" w:rsidRDefault="006135C3" w:rsidP="00622E67">
            <w:pPr>
              <w:spacing w:after="60" w:line="264" w:lineRule="auto"/>
              <w:jc w:val="both"/>
              <w:rPr>
                <w:rFonts w:ascii="Verdana" w:eastAsia="Times New Roman" w:hAnsi="Verdana"/>
                <w:sz w:val="20"/>
                <w:szCs w:val="20"/>
                <w:lang w:eastAsia="cs-CZ"/>
              </w:rPr>
            </w:pPr>
            <w:r w:rsidRPr="00025B12">
              <w:rPr>
                <w:rFonts w:ascii="Verdana" w:hAnsi="Verdana"/>
                <w:sz w:val="20"/>
                <w:szCs w:val="20"/>
              </w:rPr>
              <w:t xml:space="preserve">ČJ: </w:t>
            </w:r>
            <w:hyperlink r:id="rId66" w:history="1">
              <w:r w:rsidRPr="00025B12">
                <w:rPr>
                  <w:rStyle w:val="Hypertextovodkaz"/>
                  <w:rFonts w:ascii="Verdana" w:hAnsi="Verdana"/>
                  <w:sz w:val="20"/>
                  <w:szCs w:val="20"/>
                </w:rPr>
                <w:t>http://apl.czso.cz/pll/vykazy/pdf113?xvyk=1743&amp;cd=0</w:t>
              </w:r>
            </w:hyperlink>
          </w:p>
        </w:tc>
      </w:tr>
      <w:tr w:rsidR="006135C3" w:rsidRPr="00025B12" w:rsidTr="00622E67">
        <w:trPr>
          <w:jc w:val="center"/>
        </w:trPr>
        <w:tc>
          <w:tcPr>
            <w:tcW w:w="2518" w:type="dxa"/>
            <w:shd w:val="clear" w:color="auto" w:fill="663399"/>
          </w:tcPr>
          <w:p w:rsidR="006135C3" w:rsidRPr="00025B12" w:rsidRDefault="006135C3" w:rsidP="00622E67">
            <w:pPr>
              <w:spacing w:after="60" w:line="264" w:lineRule="auto"/>
              <w:jc w:val="both"/>
              <w:rPr>
                <w:rFonts w:ascii="Verdana" w:eastAsia="Times New Roman" w:hAnsi="Verdana"/>
                <w:b/>
                <w:color w:val="FFFFFF"/>
                <w:sz w:val="20"/>
                <w:szCs w:val="20"/>
                <w:lang w:eastAsia="cs-CZ"/>
              </w:rPr>
            </w:pPr>
            <w:r w:rsidRPr="00025B12">
              <w:rPr>
                <w:rFonts w:ascii="Verdana" w:eastAsia="Times New Roman" w:hAnsi="Verdana"/>
                <w:b/>
                <w:color w:val="FFFFFF"/>
                <w:sz w:val="20"/>
                <w:szCs w:val="20"/>
                <w:lang w:eastAsia="cs-CZ"/>
              </w:rPr>
              <w:t>Zdroj:</w:t>
            </w:r>
          </w:p>
        </w:tc>
        <w:tc>
          <w:tcPr>
            <w:tcW w:w="6770" w:type="dxa"/>
          </w:tcPr>
          <w:p w:rsidR="006135C3" w:rsidRPr="00025B12" w:rsidRDefault="006135C3" w:rsidP="00622E67">
            <w:pPr>
              <w:spacing w:after="60" w:line="264" w:lineRule="auto"/>
              <w:jc w:val="both"/>
              <w:rPr>
                <w:rFonts w:ascii="Verdana" w:hAnsi="Verdana"/>
                <w:sz w:val="20"/>
                <w:szCs w:val="20"/>
              </w:rPr>
            </w:pPr>
            <w:r w:rsidRPr="00025B12">
              <w:rPr>
                <w:rFonts w:ascii="Verdana" w:hAnsi="Verdana"/>
                <w:sz w:val="20"/>
                <w:szCs w:val="20"/>
              </w:rPr>
              <w:t xml:space="preserve">Eurostat: </w:t>
            </w:r>
            <w:hyperlink r:id="rId67" w:history="1">
              <w:r w:rsidRPr="00025B12">
                <w:rPr>
                  <w:rStyle w:val="Hypertextovodkaz"/>
                  <w:rFonts w:ascii="Verdana" w:hAnsi="Verdana"/>
                  <w:sz w:val="20"/>
                  <w:szCs w:val="20"/>
                </w:rPr>
                <w:t>http://epp.eurostat.ec.europa.eu/cache/ITY_SDDS/en/isoc_pi_esms.htm</w:t>
              </w:r>
            </w:hyperlink>
            <w:r w:rsidRPr="00025B12">
              <w:rPr>
                <w:rFonts w:ascii="Verdana" w:hAnsi="Verdana"/>
                <w:sz w:val="20"/>
                <w:szCs w:val="20"/>
              </w:rPr>
              <w:t xml:space="preserve">, </w:t>
            </w:r>
            <w:hyperlink r:id="rId68" w:history="1">
              <w:r w:rsidRPr="00025B12">
                <w:rPr>
                  <w:rStyle w:val="Hypertextovodkaz"/>
                  <w:rFonts w:ascii="Verdana" w:hAnsi="Verdana"/>
                  <w:sz w:val="20"/>
                  <w:szCs w:val="20"/>
                </w:rPr>
                <w:t>http://circa.europa.eu/Public/irc/dsis/emisannexes/library?l=/data_-_database/theme_3_-_popul/isoc/methodological_informati&amp;vm=detailed&amp;sb=Title</w:t>
              </w:r>
            </w:hyperlink>
            <w:r w:rsidRPr="00025B12">
              <w:rPr>
                <w:rFonts w:ascii="Verdana" w:hAnsi="Verdana"/>
                <w:sz w:val="20"/>
                <w:szCs w:val="20"/>
              </w:rPr>
              <w:t xml:space="preserve">, specifické info pro ČR: </w:t>
            </w:r>
            <w:hyperlink r:id="rId69" w:history="1">
              <w:r w:rsidRPr="00025B12">
                <w:rPr>
                  <w:rStyle w:val="Hypertextovodkaz"/>
                  <w:rFonts w:ascii="Verdana" w:hAnsi="Verdana"/>
                  <w:sz w:val="20"/>
                  <w:szCs w:val="20"/>
                </w:rPr>
                <w:t>http://circa.europa.eu/Public/irc/dsis/emisannexes/library?l=/data_-_database/theme_3_-_popul/isoc/country_enterprise/isoc_sdds_czhtm/_EN_1.0_&amp;a=d</w:t>
              </w:r>
            </w:hyperlink>
          </w:p>
        </w:tc>
      </w:tr>
    </w:tbl>
    <w:p w:rsidR="006135C3" w:rsidRPr="00025B12" w:rsidRDefault="006135C3" w:rsidP="006135C3">
      <w:pPr>
        <w:spacing w:before="240" w:after="0" w:line="240" w:lineRule="auto"/>
        <w:contextualSpacing/>
        <w:jc w:val="both"/>
        <w:outlineLvl w:val="0"/>
        <w:rPr>
          <w:rFonts w:ascii="Verdana" w:eastAsia="Times New Roman" w:hAnsi="Verdana"/>
          <w:b/>
          <w:sz w:val="24"/>
          <w:szCs w:val="24"/>
          <w:lang w:eastAsia="cs-CZ"/>
        </w:rPr>
      </w:pPr>
    </w:p>
    <w:p w:rsidR="006135C3" w:rsidRPr="00025B12" w:rsidRDefault="006135C3" w:rsidP="006135C3">
      <w:pPr>
        <w:spacing w:before="240" w:after="0" w:line="240" w:lineRule="auto"/>
        <w:contextualSpacing/>
        <w:jc w:val="both"/>
        <w:outlineLvl w:val="0"/>
        <w:rPr>
          <w:rFonts w:ascii="Verdana" w:eastAsia="Times New Roman" w:hAnsi="Verdana"/>
          <w:b/>
          <w:sz w:val="24"/>
          <w:szCs w:val="24"/>
          <w:lang w:eastAsia="cs-CZ"/>
        </w:rPr>
      </w:pPr>
    </w:p>
    <w:p w:rsidR="00160234" w:rsidRPr="00025B12" w:rsidRDefault="006748AA" w:rsidP="00856DAF">
      <w:pPr>
        <w:spacing w:before="240" w:after="0" w:line="240" w:lineRule="auto"/>
        <w:contextualSpacing/>
        <w:jc w:val="both"/>
        <w:outlineLvl w:val="0"/>
        <w:rPr>
          <w:rFonts w:ascii="Verdana" w:eastAsia="Times New Roman" w:hAnsi="Verdana"/>
          <w:b/>
          <w:sz w:val="24"/>
          <w:szCs w:val="24"/>
          <w:lang w:eastAsia="cs-CZ"/>
        </w:rPr>
      </w:pPr>
      <w:r w:rsidRPr="00025B12">
        <w:rPr>
          <w:rFonts w:ascii="Verdana" w:eastAsia="Times New Roman" w:hAnsi="Verdana"/>
          <w:b/>
          <w:sz w:val="24"/>
          <w:szCs w:val="24"/>
          <w:lang w:eastAsia="cs-CZ"/>
        </w:rPr>
        <w:t>Rating vzdělávacích institucí</w:t>
      </w:r>
    </w:p>
    <w:bookmarkEnd w:id="167"/>
    <w:p w:rsidR="006340BF" w:rsidRPr="00025B12" w:rsidRDefault="006340BF" w:rsidP="006748AA">
      <w:pPr>
        <w:jc w:val="both"/>
        <w:outlineLvl w:val="0"/>
        <w:rPr>
          <w:rFonts w:ascii="Verdana" w:hAnsi="Verdana"/>
          <w:b/>
          <w:sz w:val="20"/>
          <w:szCs w:val="20"/>
        </w:rPr>
      </w:pPr>
    </w:p>
    <w:p w:rsidR="00120332" w:rsidRPr="00025B12" w:rsidRDefault="00120332" w:rsidP="00120332">
      <w:pPr>
        <w:jc w:val="both"/>
        <w:rPr>
          <w:rFonts w:ascii="Verdana" w:hAnsi="Verdana"/>
          <w:sz w:val="20"/>
          <w:szCs w:val="20"/>
        </w:rPr>
      </w:pPr>
      <w:bookmarkStart w:id="168" w:name="ICT"/>
      <w:r w:rsidRPr="00025B12">
        <w:rPr>
          <w:rFonts w:ascii="Verdana" w:hAnsi="Verdana"/>
          <w:sz w:val="20"/>
          <w:szCs w:val="20"/>
        </w:rPr>
        <w:t xml:space="preserve">Rating vzdělávacích institucí by měl být jedním z výstupů aktivity Kvalita dalšího vzdělávání, která je součástí projektu Koncept.  Vznikající rating bude vymezen třemi kritérii a) na základě autoevaluace, b) hodnocení zákazníkem c) kontrolní </w:t>
      </w:r>
      <w:r w:rsidR="00E26E2D" w:rsidRPr="00025B12">
        <w:rPr>
          <w:rFonts w:ascii="Verdana" w:hAnsi="Verdana"/>
          <w:sz w:val="20"/>
          <w:szCs w:val="20"/>
        </w:rPr>
        <w:t>návštěvou</w:t>
      </w:r>
      <w:r w:rsidRPr="00025B12">
        <w:rPr>
          <w:rFonts w:ascii="Verdana" w:hAnsi="Verdana"/>
          <w:sz w:val="20"/>
          <w:szCs w:val="20"/>
        </w:rPr>
        <w:t xml:space="preserve"> ve vzdělávací instituci. Předpokládaným výstupem bude udělení 1-5 hvězdiček kvality vzdělávací instituci, což by se mohlo stát základním údajem i pro monitoring. Spuštění systému evaluace je plánováno na rok 2012.</w:t>
      </w:r>
    </w:p>
    <w:p w:rsidR="006135C3" w:rsidRPr="00025B12" w:rsidRDefault="006135C3" w:rsidP="006135C3">
      <w:pPr>
        <w:spacing w:before="240" w:after="0" w:line="240" w:lineRule="auto"/>
        <w:contextualSpacing/>
        <w:jc w:val="both"/>
        <w:outlineLvl w:val="0"/>
        <w:rPr>
          <w:rFonts w:ascii="Verdana" w:eastAsia="Times New Roman" w:hAnsi="Verdana"/>
          <w:b/>
          <w:sz w:val="24"/>
          <w:szCs w:val="24"/>
          <w:lang w:eastAsia="cs-CZ"/>
        </w:rPr>
      </w:pPr>
      <w:bookmarkStart w:id="169" w:name="ISKA"/>
      <w:r w:rsidRPr="00025B12">
        <w:rPr>
          <w:rFonts w:ascii="Verdana" w:eastAsia="Times New Roman" w:hAnsi="Verdana"/>
          <w:b/>
          <w:sz w:val="24"/>
          <w:szCs w:val="24"/>
          <w:lang w:eastAsia="cs-CZ"/>
        </w:rPr>
        <w:t>ISKA</w:t>
      </w:r>
    </w:p>
    <w:bookmarkEnd w:id="169"/>
    <w:p w:rsidR="006135C3" w:rsidRPr="00025B12" w:rsidRDefault="006135C3" w:rsidP="0003374B">
      <w:pPr>
        <w:jc w:val="both"/>
        <w:rPr>
          <w:rFonts w:ascii="Verdana" w:hAnsi="Verdana"/>
          <w:sz w:val="20"/>
          <w:szCs w:val="20"/>
        </w:rPr>
      </w:pPr>
      <w:r w:rsidRPr="00025B12">
        <w:rPr>
          <w:rFonts w:ascii="Verdana" w:hAnsi="Verdana"/>
          <w:sz w:val="20"/>
          <w:szCs w:val="20"/>
        </w:rPr>
        <w:lastRenderedPageBreak/>
        <w:t>Informační systém pro kvalifikace a autorizace (ISKA)je aktuálně připravovaný systém, který bude shromažďovat data o autorizovaných osobách a autorizacích i o udělených kvalifikacích na základě Zákona č. 179/2006 o ověřování a uznávání výsledků dalšího vzdělávání. Informační systém by měl poskytovat data v členění podle jednotlivých kvalifikací i podle regionů a autorizujících orgánů.</w:t>
      </w:r>
    </w:p>
    <w:p w:rsidR="006135C3" w:rsidRPr="00025B12" w:rsidRDefault="006135C3" w:rsidP="0003374B">
      <w:pPr>
        <w:jc w:val="both"/>
        <w:rPr>
          <w:rFonts w:ascii="Verdana" w:hAnsi="Verdana"/>
          <w:sz w:val="20"/>
          <w:szCs w:val="20"/>
        </w:rPr>
      </w:pPr>
    </w:p>
    <w:p w:rsidR="008C6791" w:rsidRPr="00025B12" w:rsidRDefault="0003374B" w:rsidP="001E2C09">
      <w:pPr>
        <w:pStyle w:val="Nadpiskonc2"/>
        <w:numPr>
          <w:ilvl w:val="0"/>
          <w:numId w:val="0"/>
        </w:numPr>
        <w:ind w:left="360"/>
        <w:rPr>
          <w:rFonts w:ascii="Verdana" w:hAnsi="Verdana"/>
          <w:caps/>
        </w:rPr>
      </w:pPr>
      <w:bookmarkStart w:id="170" w:name="Pojmy2"/>
      <w:bookmarkEnd w:id="165"/>
      <w:bookmarkEnd w:id="168"/>
      <w:r w:rsidRPr="00025B12">
        <w:rPr>
          <w:rFonts w:ascii="Verdana" w:hAnsi="Verdana"/>
          <w:caps/>
        </w:rPr>
        <w:br w:type="page"/>
      </w:r>
      <w:bookmarkStart w:id="171" w:name="_Toc304898628"/>
      <w:bookmarkStart w:id="172" w:name="Pojmy"/>
      <w:r w:rsidR="00161BDC" w:rsidRPr="00025B12">
        <w:rPr>
          <w:rFonts w:ascii="Verdana" w:hAnsi="Verdana"/>
          <w:caps/>
        </w:rPr>
        <w:lastRenderedPageBreak/>
        <w:t>Příloha 2: Vysvětlení základních pojmů</w:t>
      </w:r>
      <w:bookmarkEnd w:id="171"/>
      <w:bookmarkEnd w:id="170"/>
      <w:bookmarkEnd w:id="172"/>
    </w:p>
    <w:p w:rsidR="00ED1616" w:rsidRPr="00025B12" w:rsidRDefault="00ED1616" w:rsidP="004C4E44">
      <w:pPr>
        <w:jc w:val="both"/>
        <w:outlineLvl w:val="0"/>
        <w:rPr>
          <w:rFonts w:ascii="Verdana" w:hAnsi="Verdana"/>
          <w:sz w:val="20"/>
          <w:szCs w:val="20"/>
        </w:rPr>
      </w:pPr>
      <w:r w:rsidRPr="00025B12">
        <w:rPr>
          <w:rFonts w:ascii="Verdana" w:hAnsi="Verdana"/>
          <w:b/>
          <w:sz w:val="20"/>
          <w:szCs w:val="20"/>
        </w:rPr>
        <w:t>Další vzdělávání</w:t>
      </w:r>
      <w:r w:rsidR="004C4E44" w:rsidRPr="00025B12">
        <w:rPr>
          <w:rFonts w:ascii="Verdana" w:hAnsi="Verdana"/>
          <w:b/>
          <w:sz w:val="20"/>
          <w:szCs w:val="20"/>
        </w:rPr>
        <w:t xml:space="preserve">. </w:t>
      </w:r>
      <w:r w:rsidR="004C4E44" w:rsidRPr="00025B12">
        <w:rPr>
          <w:rFonts w:ascii="Verdana" w:hAnsi="Verdana"/>
          <w:sz w:val="20"/>
          <w:szCs w:val="20"/>
        </w:rPr>
        <w:t xml:space="preserve">Za další vzdělávání je obvykle považováno vzdělávání v dospělém věku. Od počátečního vzdělávání, které probíhá od dětství je obvykle odděleno vstupem na trh práce nebo </w:t>
      </w:r>
      <w:r w:rsidR="0006704E" w:rsidRPr="00025B12">
        <w:rPr>
          <w:rFonts w:ascii="Verdana" w:hAnsi="Verdana"/>
          <w:sz w:val="20"/>
          <w:szCs w:val="20"/>
        </w:rPr>
        <w:t>jinou</w:t>
      </w:r>
      <w:r w:rsidR="004C4E44" w:rsidRPr="00025B12">
        <w:rPr>
          <w:rFonts w:ascii="Verdana" w:hAnsi="Verdana"/>
          <w:sz w:val="20"/>
          <w:szCs w:val="20"/>
        </w:rPr>
        <w:t xml:space="preserve"> formou časového odstupu. </w:t>
      </w:r>
      <w:r w:rsidRPr="00025B12">
        <w:rPr>
          <w:rFonts w:ascii="Verdana" w:hAnsi="Verdana"/>
          <w:sz w:val="20"/>
          <w:szCs w:val="20"/>
        </w:rPr>
        <w:t>Při snaze o statistické zachycení dalšího vzdělávání narážíme na řadu metodických problémů. K ideální definici dalšího vzdělávání se tak jednotlivé indikátory snaží metodicky přiblížit např. na základě</w:t>
      </w:r>
      <w:r w:rsidR="004C4E44" w:rsidRPr="00025B12">
        <w:rPr>
          <w:rFonts w:ascii="Verdana" w:hAnsi="Verdana"/>
          <w:sz w:val="20"/>
          <w:szCs w:val="20"/>
        </w:rPr>
        <w:t xml:space="preserve"> definice věku účastníků či forem</w:t>
      </w:r>
      <w:r w:rsidRPr="00025B12">
        <w:rPr>
          <w:rFonts w:ascii="Verdana" w:hAnsi="Verdana"/>
          <w:sz w:val="20"/>
          <w:szCs w:val="20"/>
        </w:rPr>
        <w:t xml:space="preserve"> vzdělávání. V tomto ohledu není ve všech indikátorech definice dalšího vzdělávání jednotná</w:t>
      </w:r>
      <w:r w:rsidR="004C4E44" w:rsidRPr="00025B12">
        <w:rPr>
          <w:rFonts w:ascii="Verdana" w:hAnsi="Verdana"/>
          <w:sz w:val="20"/>
          <w:szCs w:val="20"/>
        </w:rPr>
        <w:t>,</w:t>
      </w:r>
      <w:r w:rsidRPr="00025B12">
        <w:rPr>
          <w:rFonts w:ascii="Verdana" w:hAnsi="Verdana"/>
          <w:sz w:val="20"/>
          <w:szCs w:val="20"/>
        </w:rPr>
        <w:t xml:space="preserve"> je třeba věnovat pozornost metodickému popisu jednotlivých indikátorů.</w:t>
      </w:r>
    </w:p>
    <w:p w:rsidR="00161BDC" w:rsidRPr="00025B12" w:rsidRDefault="00161BDC" w:rsidP="004C4E44">
      <w:pPr>
        <w:jc w:val="both"/>
        <w:outlineLvl w:val="0"/>
        <w:rPr>
          <w:rFonts w:ascii="Verdana" w:hAnsi="Verdana"/>
          <w:b/>
          <w:sz w:val="20"/>
          <w:szCs w:val="20"/>
        </w:rPr>
      </w:pPr>
      <w:r w:rsidRPr="00025B12">
        <w:rPr>
          <w:rFonts w:ascii="Verdana" w:hAnsi="Verdana"/>
          <w:b/>
          <w:sz w:val="20"/>
          <w:szCs w:val="20"/>
        </w:rPr>
        <w:t>Formální vzdělávání</w:t>
      </w:r>
      <w:r w:rsidR="004C4E44" w:rsidRPr="00025B12">
        <w:rPr>
          <w:rFonts w:ascii="Verdana" w:hAnsi="Verdana"/>
          <w:b/>
          <w:sz w:val="20"/>
          <w:szCs w:val="20"/>
        </w:rPr>
        <w:t xml:space="preserve">. </w:t>
      </w:r>
      <w:r w:rsidR="00C84B47" w:rsidRPr="00025B12">
        <w:rPr>
          <w:rFonts w:ascii="Verdana" w:hAnsi="Verdana"/>
          <w:sz w:val="20"/>
          <w:szCs w:val="20"/>
        </w:rPr>
        <w:t xml:space="preserve">Za formální vzdělávání je považováno takové, které probíhá ve vzdělávacích institucích a vede k získání uznávaných certifikátů a kvalifikací, zpravidla při něm absolventu postupuje na pomyslném vzdělanostním žebříčku. </w:t>
      </w:r>
    </w:p>
    <w:p w:rsidR="00525EBD" w:rsidRPr="00025B12" w:rsidRDefault="00161BDC" w:rsidP="004C4E44">
      <w:pPr>
        <w:jc w:val="both"/>
        <w:outlineLvl w:val="0"/>
        <w:rPr>
          <w:rFonts w:ascii="Verdana" w:hAnsi="Verdana"/>
          <w:sz w:val="20"/>
          <w:szCs w:val="20"/>
        </w:rPr>
      </w:pPr>
      <w:r w:rsidRPr="00025B12">
        <w:rPr>
          <w:rFonts w:ascii="Verdana" w:hAnsi="Verdana"/>
          <w:b/>
          <w:sz w:val="20"/>
          <w:szCs w:val="20"/>
        </w:rPr>
        <w:t>Neformální vzdělávání</w:t>
      </w:r>
      <w:r w:rsidR="004C4E44" w:rsidRPr="00025B12">
        <w:rPr>
          <w:rFonts w:ascii="Verdana" w:hAnsi="Verdana"/>
          <w:b/>
          <w:sz w:val="20"/>
          <w:szCs w:val="20"/>
        </w:rPr>
        <w:t xml:space="preserve">. </w:t>
      </w:r>
      <w:r w:rsidR="00C84B47" w:rsidRPr="00025B12">
        <w:rPr>
          <w:rFonts w:ascii="Verdana" w:hAnsi="Verdana"/>
          <w:sz w:val="20"/>
          <w:szCs w:val="20"/>
        </w:rPr>
        <w:t>Podle Memoranda EU o celoživotním učení (2000) neformální vzdělávání probíhá vedle hlavních vzdělávacích systémů a zpravidla nevede k získání formalizovaného certifikátu, nevede k postupu na pomyslném vzdělanostním žebříčku. Neformální učení může být poskytováno na pracovišti a prostřednictvím činností organizací a sdružení občanské společnosti (např. v organizacích pro mládež, v odborech a v politických stranách). Může být poskytováno také prostřednictvím organizací nebo služeb, které byly ustaveny se záměrem doplňovat formální systémy (např. výtvarné, hudební a sportovní aktivity nebo soukromé vyučování připravující na zkoušky).</w:t>
      </w:r>
    </w:p>
    <w:p w:rsidR="004C4E44" w:rsidRPr="00025B12" w:rsidRDefault="000C1B04" w:rsidP="008C6791">
      <w:pPr>
        <w:jc w:val="both"/>
        <w:rPr>
          <w:rFonts w:ascii="Verdana" w:hAnsi="Verdana"/>
          <w:sz w:val="20"/>
          <w:szCs w:val="20"/>
        </w:rPr>
      </w:pPr>
      <w:r w:rsidRPr="00025B12">
        <w:rPr>
          <w:rFonts w:ascii="Verdana" w:hAnsi="Verdana"/>
          <w:b/>
          <w:sz w:val="20"/>
          <w:szCs w:val="20"/>
        </w:rPr>
        <w:t>Formy podnikového</w:t>
      </w:r>
      <w:r w:rsidR="006765F8" w:rsidRPr="00025B12">
        <w:rPr>
          <w:rFonts w:ascii="Verdana" w:hAnsi="Verdana"/>
          <w:b/>
          <w:sz w:val="20"/>
          <w:szCs w:val="20"/>
        </w:rPr>
        <w:t xml:space="preserve"> </w:t>
      </w:r>
      <w:r w:rsidR="007F5DA0" w:rsidRPr="00025B12">
        <w:rPr>
          <w:rFonts w:ascii="Verdana" w:hAnsi="Verdana"/>
          <w:b/>
          <w:sz w:val="20"/>
          <w:szCs w:val="20"/>
        </w:rPr>
        <w:t>vzdělávání</w:t>
      </w:r>
      <w:r w:rsidR="004C4E44" w:rsidRPr="00025B12">
        <w:rPr>
          <w:rFonts w:ascii="Verdana" w:hAnsi="Verdana"/>
          <w:b/>
          <w:sz w:val="20"/>
          <w:szCs w:val="20"/>
        </w:rPr>
        <w:t xml:space="preserve">. </w:t>
      </w:r>
      <w:r w:rsidR="004C4E44" w:rsidRPr="00025B12">
        <w:rPr>
          <w:rFonts w:ascii="Verdana" w:hAnsi="Verdana"/>
          <w:sz w:val="20"/>
          <w:szCs w:val="20"/>
        </w:rPr>
        <w:t>P</w:t>
      </w:r>
      <w:r w:rsidRPr="00025B12">
        <w:rPr>
          <w:rFonts w:ascii="Verdana" w:hAnsi="Verdana"/>
          <w:sz w:val="20"/>
          <w:szCs w:val="20"/>
        </w:rPr>
        <w:t xml:space="preserve">odnikové vzdělávání je dle metodiky šetření CVTS členěné na </w:t>
      </w:r>
      <w:r w:rsidRPr="00025B12">
        <w:rPr>
          <w:rFonts w:ascii="Verdana" w:hAnsi="Verdana"/>
          <w:b/>
          <w:sz w:val="20"/>
          <w:szCs w:val="20"/>
        </w:rPr>
        <w:t>kurzy a ostatní formy</w:t>
      </w:r>
      <w:r w:rsidRPr="00025B12">
        <w:rPr>
          <w:rFonts w:ascii="Verdana" w:hAnsi="Verdana"/>
          <w:sz w:val="20"/>
          <w:szCs w:val="20"/>
        </w:rPr>
        <w:t xml:space="preserve">. Do kurzů se počítají interní i externí kurzy, z ostatních forem jsou v šetření CVTS zjišťovány informace o vzdělávání na pracovišti, </w:t>
      </w:r>
      <w:r w:rsidR="004C4E44" w:rsidRPr="00025B12">
        <w:rPr>
          <w:rFonts w:ascii="Verdana" w:hAnsi="Verdana"/>
          <w:sz w:val="20"/>
          <w:szCs w:val="20"/>
        </w:rPr>
        <w:t>rotaci</w:t>
      </w:r>
      <w:r w:rsidRPr="00025B12">
        <w:rPr>
          <w:rFonts w:ascii="Verdana" w:hAnsi="Verdana"/>
          <w:sz w:val="20"/>
          <w:szCs w:val="20"/>
        </w:rPr>
        <w:t xml:space="preserve"> pracovních míst</w:t>
      </w:r>
      <w:r w:rsidR="004C4E44" w:rsidRPr="00025B12">
        <w:rPr>
          <w:rFonts w:ascii="Verdana" w:hAnsi="Verdana"/>
          <w:sz w:val="20"/>
          <w:szCs w:val="20"/>
        </w:rPr>
        <w:t xml:space="preserve"> a studijních návštěvách, vzdělávacích kroužcích či kroužcích kvality, samostudia</w:t>
      </w:r>
      <w:r w:rsidRPr="00025B12">
        <w:rPr>
          <w:rFonts w:ascii="Verdana" w:hAnsi="Verdana"/>
          <w:sz w:val="20"/>
          <w:szCs w:val="20"/>
        </w:rPr>
        <w:t xml:space="preserve">, </w:t>
      </w:r>
      <w:r w:rsidR="004C4E44" w:rsidRPr="00025B12">
        <w:rPr>
          <w:rFonts w:ascii="Verdana" w:hAnsi="Verdana"/>
          <w:sz w:val="20"/>
          <w:szCs w:val="20"/>
        </w:rPr>
        <w:t>účasti na konferencích a seminářích</w:t>
      </w:r>
      <w:r w:rsidRPr="00025B12">
        <w:rPr>
          <w:rFonts w:ascii="Verdana" w:hAnsi="Verdana"/>
          <w:sz w:val="20"/>
          <w:szCs w:val="20"/>
        </w:rPr>
        <w:t xml:space="preserve">. </w:t>
      </w:r>
      <w:r w:rsidR="004C4E44" w:rsidRPr="00025B12">
        <w:rPr>
          <w:rFonts w:ascii="Verdana" w:hAnsi="Verdana"/>
          <w:sz w:val="20"/>
          <w:szCs w:val="20"/>
        </w:rPr>
        <w:t xml:space="preserve">Některé indikátory se vztahují pouze ke kurzů, některé jsou k dispozici i pro další formy vzdělávání. </w:t>
      </w:r>
    </w:p>
    <w:p w:rsidR="007F5DA0" w:rsidRPr="00025B12" w:rsidRDefault="000C1B04" w:rsidP="008C6791">
      <w:pPr>
        <w:jc w:val="both"/>
        <w:rPr>
          <w:rFonts w:ascii="Verdana" w:hAnsi="Verdana"/>
          <w:sz w:val="20"/>
          <w:szCs w:val="20"/>
        </w:rPr>
      </w:pPr>
      <w:r w:rsidRPr="00025B12">
        <w:rPr>
          <w:rFonts w:ascii="Verdana" w:hAnsi="Verdana"/>
          <w:sz w:val="20"/>
          <w:szCs w:val="20"/>
        </w:rPr>
        <w:t>Šetření úplných nákladů práce mezi formami dalšího vzdělávání nerozliš</w:t>
      </w:r>
      <w:r w:rsidR="0006704E" w:rsidRPr="00025B12">
        <w:rPr>
          <w:rFonts w:ascii="Verdana" w:hAnsi="Verdana"/>
          <w:sz w:val="20"/>
          <w:szCs w:val="20"/>
        </w:rPr>
        <w:t xml:space="preserve">uje, výdaje na další vzdělávání </w:t>
      </w:r>
      <w:r w:rsidRPr="00025B12">
        <w:rPr>
          <w:rFonts w:ascii="Verdana" w:hAnsi="Verdana"/>
          <w:sz w:val="20"/>
          <w:szCs w:val="20"/>
        </w:rPr>
        <w:t>zjišťované v rámci šetření Úplných nákladů práce zahrnují</w:t>
      </w:r>
      <w:r w:rsidR="004C4E44" w:rsidRPr="00025B12">
        <w:rPr>
          <w:rFonts w:ascii="Verdana" w:hAnsi="Verdana"/>
          <w:sz w:val="20"/>
          <w:szCs w:val="20"/>
        </w:rPr>
        <w:t xml:space="preserve"> zejména výdaje na kurzy, ale mohou zahrnovat i výdaje na některé další formy ve formě výukových materiálů, pomůcek apod.</w:t>
      </w:r>
    </w:p>
    <w:p w:rsidR="004C4E44" w:rsidRPr="00025B12" w:rsidRDefault="004C4E44" w:rsidP="004C4E44">
      <w:pPr>
        <w:jc w:val="both"/>
        <w:outlineLvl w:val="0"/>
        <w:rPr>
          <w:rFonts w:ascii="Verdana" w:hAnsi="Verdana"/>
          <w:b/>
          <w:sz w:val="20"/>
          <w:szCs w:val="20"/>
        </w:rPr>
      </w:pPr>
      <w:r w:rsidRPr="00025B12">
        <w:rPr>
          <w:rFonts w:ascii="Verdana" w:hAnsi="Verdana"/>
          <w:b/>
          <w:sz w:val="20"/>
          <w:szCs w:val="20"/>
        </w:rPr>
        <w:t xml:space="preserve">Uznávání výsledků dalšího vzdělávání </w:t>
      </w:r>
      <w:r w:rsidRPr="00025B12">
        <w:rPr>
          <w:rFonts w:ascii="Verdana" w:hAnsi="Verdana"/>
          <w:sz w:val="20"/>
          <w:szCs w:val="20"/>
        </w:rPr>
        <w:t>– uznáváním výsledků dalšího vzdělávání vychází ze zákona č. 179/2006, který umožňuje získat uznávaný certifikát dílčí či úplné kvalifikace na základě definovaných standardů bez ohledu na to, jakou formou člověk získal kompetence potřebné pro danou kvalifikaci.</w:t>
      </w:r>
    </w:p>
    <w:p w:rsidR="007F5DA0" w:rsidRPr="00025B12" w:rsidRDefault="007F5DA0" w:rsidP="008C6791">
      <w:pPr>
        <w:jc w:val="both"/>
        <w:rPr>
          <w:rFonts w:ascii="Verdana" w:hAnsi="Verdana"/>
          <w:sz w:val="20"/>
          <w:szCs w:val="20"/>
        </w:rPr>
      </w:pPr>
      <w:r w:rsidRPr="00025B12">
        <w:rPr>
          <w:rFonts w:ascii="Verdana" w:hAnsi="Verdana"/>
          <w:b/>
          <w:sz w:val="20"/>
          <w:szCs w:val="20"/>
        </w:rPr>
        <w:t>Přímé náklady na další vzdělávání</w:t>
      </w:r>
      <w:r w:rsidR="000510FC" w:rsidRPr="00025B12">
        <w:rPr>
          <w:rFonts w:ascii="Verdana" w:hAnsi="Verdana"/>
          <w:b/>
          <w:sz w:val="20"/>
          <w:szCs w:val="20"/>
        </w:rPr>
        <w:t xml:space="preserve"> </w:t>
      </w:r>
      <w:r w:rsidR="000510FC" w:rsidRPr="00025B12">
        <w:rPr>
          <w:rFonts w:ascii="Verdana" w:hAnsi="Verdana"/>
          <w:sz w:val="20"/>
          <w:szCs w:val="20"/>
        </w:rPr>
        <w:t>– termín se vztahuje k podnikovému financování dalšího vzdělávání. Přímé náklady zahrnují všechny výdaje, které se vztahují přímo ke vzdělávání, např. poplatek za školení, výukové materiály, pronájem prostor apod.</w:t>
      </w:r>
    </w:p>
    <w:p w:rsidR="000931FF" w:rsidRPr="00025B12" w:rsidRDefault="007F5DA0" w:rsidP="008C6791">
      <w:pPr>
        <w:jc w:val="both"/>
        <w:rPr>
          <w:rFonts w:ascii="Verdana" w:hAnsi="Verdana"/>
          <w:sz w:val="20"/>
          <w:szCs w:val="20"/>
        </w:rPr>
      </w:pPr>
      <w:r w:rsidRPr="00025B12">
        <w:rPr>
          <w:rFonts w:ascii="Verdana" w:hAnsi="Verdana"/>
          <w:b/>
          <w:sz w:val="20"/>
          <w:szCs w:val="20"/>
        </w:rPr>
        <w:t>Nepřímé náklady na další vzdělávání</w:t>
      </w:r>
      <w:r w:rsidR="000510FC" w:rsidRPr="00025B12">
        <w:rPr>
          <w:rFonts w:ascii="Verdana" w:hAnsi="Verdana"/>
          <w:b/>
          <w:sz w:val="20"/>
          <w:szCs w:val="20"/>
        </w:rPr>
        <w:t xml:space="preserve"> </w:t>
      </w:r>
      <w:r w:rsidR="000510FC" w:rsidRPr="00025B12">
        <w:rPr>
          <w:rFonts w:ascii="Verdana" w:hAnsi="Verdana"/>
          <w:sz w:val="20"/>
          <w:szCs w:val="20"/>
        </w:rPr>
        <w:t xml:space="preserve">– jsou náklady, které musí podnik vynaložit na to, aby mohl své zaměstnance vzdělávat, ale které nejsou přímými výdaji na toto vzdělávání. Jedná se především o náklady práce osob </w:t>
      </w:r>
      <w:r w:rsidR="0006704E" w:rsidRPr="00025B12">
        <w:rPr>
          <w:rFonts w:ascii="Verdana" w:hAnsi="Verdana"/>
          <w:sz w:val="20"/>
          <w:szCs w:val="20"/>
        </w:rPr>
        <w:t>účastnících</w:t>
      </w:r>
      <w:r w:rsidR="000510FC" w:rsidRPr="00025B12">
        <w:rPr>
          <w:rFonts w:ascii="Verdana" w:hAnsi="Verdana"/>
          <w:sz w:val="20"/>
          <w:szCs w:val="20"/>
        </w:rPr>
        <w:t xml:space="preserve"> se vzdělávání.</w:t>
      </w:r>
    </w:p>
    <w:p w:rsidR="00424CD3" w:rsidRPr="00025B12" w:rsidRDefault="00424CD3" w:rsidP="00647155">
      <w:pPr>
        <w:jc w:val="both"/>
        <w:outlineLvl w:val="0"/>
        <w:rPr>
          <w:rFonts w:ascii="Verdana" w:hAnsi="Verdana"/>
          <w:b/>
          <w:sz w:val="20"/>
          <w:szCs w:val="20"/>
        </w:rPr>
      </w:pPr>
      <w:r w:rsidRPr="00025B12">
        <w:rPr>
          <w:rFonts w:ascii="Verdana" w:hAnsi="Verdana"/>
          <w:b/>
          <w:sz w:val="20"/>
          <w:szCs w:val="20"/>
        </w:rPr>
        <w:t xml:space="preserve">Lektor dalšího vzdělávání – </w:t>
      </w:r>
      <w:r w:rsidRPr="00025B12">
        <w:rPr>
          <w:rFonts w:ascii="Verdana" w:hAnsi="Verdana"/>
          <w:sz w:val="20"/>
          <w:szCs w:val="20"/>
        </w:rPr>
        <w:t xml:space="preserve">pracovník zajišťující </w:t>
      </w:r>
      <w:r w:rsidR="001C3B54" w:rsidRPr="00025B12">
        <w:rPr>
          <w:rFonts w:ascii="Verdana" w:hAnsi="Verdana"/>
          <w:sz w:val="20"/>
          <w:szCs w:val="20"/>
        </w:rPr>
        <w:t xml:space="preserve">další vzdělávání, zejména neformální. </w:t>
      </w:r>
      <w:r w:rsidRPr="00025B12">
        <w:rPr>
          <w:rFonts w:ascii="Verdana" w:hAnsi="Verdana"/>
          <w:sz w:val="20"/>
          <w:szCs w:val="20"/>
        </w:rPr>
        <w:t xml:space="preserve"> </w:t>
      </w:r>
      <w:r w:rsidR="001C3B54" w:rsidRPr="00025B12">
        <w:rPr>
          <w:rFonts w:ascii="Verdana" w:hAnsi="Verdana"/>
          <w:sz w:val="20"/>
          <w:szCs w:val="20"/>
        </w:rPr>
        <w:t xml:space="preserve">Statistiky o lektorech dalšího vzdělávání zahrnují </w:t>
      </w:r>
      <w:r w:rsidR="000510FC" w:rsidRPr="00025B12">
        <w:rPr>
          <w:rFonts w:ascii="Verdana" w:hAnsi="Verdana"/>
          <w:sz w:val="20"/>
          <w:szCs w:val="20"/>
        </w:rPr>
        <w:t xml:space="preserve">všechny pracovníky vzdělávacích </w:t>
      </w:r>
      <w:r w:rsidR="000510FC" w:rsidRPr="00025B12">
        <w:rPr>
          <w:rFonts w:ascii="Verdana" w:hAnsi="Verdana"/>
          <w:sz w:val="20"/>
          <w:szCs w:val="20"/>
        </w:rPr>
        <w:lastRenderedPageBreak/>
        <w:t xml:space="preserve">společností, kteří se podílejí na výuce a vzdělávání, </w:t>
      </w:r>
      <w:r w:rsidRPr="00025B12">
        <w:rPr>
          <w:rFonts w:ascii="Verdana" w:hAnsi="Verdana"/>
          <w:sz w:val="20"/>
          <w:szCs w:val="20"/>
        </w:rPr>
        <w:t>nezahrnuje jiné pracovníky vzdělávacích společností (např. administrativní)</w:t>
      </w:r>
      <w:r w:rsidR="000510FC" w:rsidRPr="00025B12">
        <w:rPr>
          <w:rFonts w:ascii="Verdana" w:hAnsi="Verdana"/>
          <w:sz w:val="20"/>
          <w:szCs w:val="20"/>
        </w:rPr>
        <w:t>.</w:t>
      </w:r>
    </w:p>
    <w:p w:rsidR="00424CD3" w:rsidRPr="00281136" w:rsidRDefault="00424CD3" w:rsidP="00647155">
      <w:pPr>
        <w:jc w:val="both"/>
        <w:outlineLvl w:val="0"/>
        <w:rPr>
          <w:rFonts w:ascii="Verdana" w:hAnsi="Verdana"/>
          <w:sz w:val="20"/>
          <w:szCs w:val="20"/>
        </w:rPr>
      </w:pPr>
      <w:r w:rsidRPr="00025B12">
        <w:rPr>
          <w:rFonts w:ascii="Verdana" w:hAnsi="Verdana"/>
          <w:b/>
          <w:sz w:val="20"/>
          <w:szCs w:val="20"/>
        </w:rPr>
        <w:t xml:space="preserve">Pedagog dalšího vzdělávání </w:t>
      </w:r>
      <w:r w:rsidRPr="00025B12">
        <w:rPr>
          <w:rFonts w:ascii="Verdana" w:hAnsi="Verdana"/>
          <w:sz w:val="20"/>
          <w:szCs w:val="20"/>
        </w:rPr>
        <w:t>– termín vycházející z klasifikace KZAM</w:t>
      </w:r>
      <w:r w:rsidR="00281136" w:rsidRPr="00025B12">
        <w:rPr>
          <w:rFonts w:ascii="Verdana" w:hAnsi="Verdana"/>
          <w:sz w:val="20"/>
          <w:szCs w:val="20"/>
        </w:rPr>
        <w:t>. Zatímco za lektora dalšího vzdělávání můžeme považovat každého, kdo se věnuje výuce v rámci dalšího neformálního vzdělávání (např. i jako součást jiné profese poskytuje lektorské služby), pedagog dalšího vzdělávání je ten, kdo je profesně zařazen do třídy</w:t>
      </w:r>
      <w:r w:rsidR="000E3298" w:rsidRPr="00025B12">
        <w:rPr>
          <w:rFonts w:ascii="Verdana" w:hAnsi="Verdana"/>
          <w:sz w:val="20"/>
          <w:szCs w:val="20"/>
        </w:rPr>
        <w:t xml:space="preserve"> KZAM 3342.</w:t>
      </w:r>
    </w:p>
    <w:p w:rsidR="00424CD3" w:rsidRDefault="00424CD3" w:rsidP="00647155">
      <w:pPr>
        <w:jc w:val="both"/>
        <w:outlineLvl w:val="0"/>
        <w:rPr>
          <w:rFonts w:ascii="Verdana" w:hAnsi="Verdana"/>
          <w:b/>
          <w:sz w:val="20"/>
          <w:szCs w:val="20"/>
        </w:rPr>
      </w:pPr>
    </w:p>
    <w:p w:rsidR="00525EBD" w:rsidRDefault="00525EBD" w:rsidP="008C6791">
      <w:pPr>
        <w:jc w:val="both"/>
        <w:rPr>
          <w:rFonts w:ascii="Verdana" w:hAnsi="Verdana"/>
          <w:b/>
          <w:sz w:val="20"/>
          <w:szCs w:val="20"/>
        </w:rPr>
      </w:pPr>
    </w:p>
    <w:p w:rsidR="00525EBD" w:rsidRDefault="00525EBD" w:rsidP="008C6791">
      <w:pPr>
        <w:jc w:val="both"/>
        <w:rPr>
          <w:rFonts w:ascii="Verdana" w:hAnsi="Verdana"/>
          <w:b/>
          <w:sz w:val="20"/>
          <w:szCs w:val="20"/>
        </w:rPr>
      </w:pPr>
    </w:p>
    <w:sectPr w:rsidR="00525EBD" w:rsidSect="000960D7">
      <w:headerReference w:type="default" r:id="rId70"/>
      <w:footerReference w:type="default" r:id="rI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AEC" w:rsidRDefault="000E2AEC" w:rsidP="003D3E9E">
      <w:pPr>
        <w:spacing w:after="0" w:line="240" w:lineRule="auto"/>
      </w:pPr>
      <w:r>
        <w:separator/>
      </w:r>
    </w:p>
  </w:endnote>
  <w:endnote w:type="continuationSeparator" w:id="0">
    <w:p w:rsidR="000E2AEC" w:rsidRDefault="000E2AEC" w:rsidP="003D3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EC" w:rsidRPr="00347B30" w:rsidRDefault="000E2AEC" w:rsidP="00347B30">
    <w:pPr>
      <w:spacing w:after="0" w:line="240" w:lineRule="auto"/>
      <w:jc w:val="center"/>
      <w:rPr>
        <w:rFonts w:ascii="Verdana" w:eastAsia="Times New Roman" w:hAnsi="Verdana" w:cs="Arial"/>
        <w:sz w:val="16"/>
        <w:szCs w:val="16"/>
        <w:lang w:eastAsia="cs-CZ"/>
      </w:rPr>
    </w:pPr>
    <w:r w:rsidRPr="00347B30">
      <w:rPr>
        <w:rFonts w:ascii="Verdana" w:hAnsi="Verdana"/>
        <w:sz w:val="16"/>
        <w:szCs w:val="16"/>
        <w:lang w:eastAsia="cs-CZ"/>
      </w:rPr>
      <w:t>Tento projekt je spolufinancován Evropským sociálním fondem a státním rozpočtem České republiky.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EC" w:rsidRPr="00966581" w:rsidRDefault="000E2AEC" w:rsidP="006339A6">
    <w:pPr>
      <w:spacing w:after="0" w:line="240" w:lineRule="auto"/>
      <w:jc w:val="center"/>
      <w:rPr>
        <w:rStyle w:val="slostrnky"/>
      </w:rPr>
    </w:pPr>
    <w:r w:rsidRPr="00966581">
      <w:rPr>
        <w:rFonts w:ascii="Verdana" w:hAnsi="Verdana" w:cs="Arial"/>
        <w:sz w:val="16"/>
        <w:szCs w:val="16"/>
      </w:rPr>
      <w:t>Tento projekt je spolufinancován Evropským sociálním fondem a státním rozpočtem České republiky.</w:t>
    </w:r>
  </w:p>
  <w:p w:rsidR="000E2AEC" w:rsidRPr="00966581" w:rsidRDefault="00665F1D" w:rsidP="006339A6">
    <w:pPr>
      <w:spacing w:after="0" w:line="240" w:lineRule="auto"/>
      <w:jc w:val="center"/>
      <w:rPr>
        <w:rStyle w:val="slostrnky"/>
      </w:rPr>
    </w:pPr>
    <w:r w:rsidRPr="00966581">
      <w:rPr>
        <w:rStyle w:val="slostrnky"/>
      </w:rPr>
      <w:fldChar w:fldCharType="begin"/>
    </w:r>
    <w:r w:rsidR="000E2AEC" w:rsidRPr="00966581">
      <w:rPr>
        <w:rStyle w:val="slostrnky"/>
      </w:rPr>
      <w:instrText xml:space="preserve"> PAGE </w:instrText>
    </w:r>
    <w:r w:rsidRPr="00966581">
      <w:rPr>
        <w:rStyle w:val="slostrnky"/>
      </w:rPr>
      <w:fldChar w:fldCharType="separate"/>
    </w:r>
    <w:r w:rsidR="00996793">
      <w:rPr>
        <w:rStyle w:val="slostrnky"/>
        <w:noProof/>
      </w:rPr>
      <w:t>111</w:t>
    </w:r>
    <w:r w:rsidRPr="00966581">
      <w:rPr>
        <w:rStyle w:val="slostrnky"/>
      </w:rPr>
      <w:fldChar w:fldCharType="end"/>
    </w:r>
    <w:r w:rsidR="000E2AEC" w:rsidRPr="00966581">
      <w:rPr>
        <w:rStyle w:val="slostrnky"/>
      </w:rPr>
      <w:t xml:space="preserve"> z </w:t>
    </w:r>
    <w:r w:rsidRPr="00966581">
      <w:rPr>
        <w:rStyle w:val="slostrnky"/>
      </w:rPr>
      <w:fldChar w:fldCharType="begin"/>
    </w:r>
    <w:r w:rsidR="000E2AEC" w:rsidRPr="00966581">
      <w:rPr>
        <w:rStyle w:val="slostrnky"/>
      </w:rPr>
      <w:instrText xml:space="preserve"> NUMPAGES </w:instrText>
    </w:r>
    <w:r w:rsidRPr="00966581">
      <w:rPr>
        <w:rStyle w:val="slostrnky"/>
      </w:rPr>
      <w:fldChar w:fldCharType="separate"/>
    </w:r>
    <w:r w:rsidR="00996793">
      <w:rPr>
        <w:rStyle w:val="slostrnky"/>
        <w:noProof/>
      </w:rPr>
      <w:t>126</w:t>
    </w:r>
    <w:r w:rsidRPr="00966581">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AEC" w:rsidRDefault="000E2AEC" w:rsidP="003D3E9E">
      <w:pPr>
        <w:spacing w:after="0" w:line="240" w:lineRule="auto"/>
      </w:pPr>
      <w:r>
        <w:separator/>
      </w:r>
    </w:p>
  </w:footnote>
  <w:footnote w:type="continuationSeparator" w:id="0">
    <w:p w:rsidR="000E2AEC" w:rsidRDefault="000E2AEC" w:rsidP="003D3E9E">
      <w:pPr>
        <w:spacing w:after="0" w:line="240" w:lineRule="auto"/>
      </w:pPr>
      <w:r>
        <w:continuationSeparator/>
      </w:r>
    </w:p>
  </w:footnote>
  <w:footnote w:id="1">
    <w:p w:rsidR="000E2AEC" w:rsidRDefault="000E2AEC" w:rsidP="00A33152">
      <w:pPr>
        <w:pStyle w:val="Textpoznpodarou"/>
      </w:pPr>
      <w:r>
        <w:rPr>
          <w:rStyle w:val="Znakapoznpodarou"/>
        </w:rPr>
        <w:footnoteRef/>
      </w:r>
      <w:r>
        <w:t xml:space="preserve"> Kromě šetření zaměstnavatelů prováděného NÚOV, které je však zaměřeno pouze na dovednosti absolventů škol.</w:t>
      </w:r>
    </w:p>
  </w:footnote>
  <w:footnote w:id="2">
    <w:p w:rsidR="000E2AEC" w:rsidRDefault="000E2AEC" w:rsidP="00A9209D">
      <w:pPr>
        <w:pStyle w:val="Textpoznpodarou"/>
      </w:pPr>
      <w:r>
        <w:rPr>
          <w:rStyle w:val="Znakapoznpodarou"/>
        </w:rPr>
        <w:footnoteRef/>
      </w:r>
      <w:r>
        <w:t xml:space="preserve"> </w:t>
      </w:r>
      <w:r w:rsidRPr="00FA7853">
        <w:t>Zaměstnanecké rekvalifikace nejsou zahrnuty.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EC" w:rsidRDefault="00665F1D">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9.1pt;margin-top:-78.65pt;width:594pt;height:170.25pt;z-index:251657216;mso-position-horizontal-relative:margin;mso-position-vertical-relative:margin">
          <v:imagedata r:id="rId1" o:title=""/>
          <w10:wrap type="square"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EC" w:rsidRDefault="00665F1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8pt;margin-top:-34.5pt;width:594pt;height:63pt;z-index:251658240">
          <v:imagedata r:id="rId1" o:title="HP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6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484"/>
    <w:multiLevelType w:val="hybridMultilevel"/>
    <w:tmpl w:val="4B046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466CC7"/>
    <w:multiLevelType w:val="hybridMultilevel"/>
    <w:tmpl w:val="ABE038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9430D19"/>
    <w:multiLevelType w:val="hybridMultilevel"/>
    <w:tmpl w:val="61A0B4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760835"/>
    <w:multiLevelType w:val="hybridMultilevel"/>
    <w:tmpl w:val="041C0BF4"/>
    <w:lvl w:ilvl="0" w:tplc="63F2BDB0">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C633C9"/>
    <w:multiLevelType w:val="hybridMultilevel"/>
    <w:tmpl w:val="BD2494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E83606"/>
    <w:multiLevelType w:val="hybridMultilevel"/>
    <w:tmpl w:val="EB40AD02"/>
    <w:lvl w:ilvl="0" w:tplc="04050005">
      <w:start w:val="1"/>
      <w:numFmt w:val="bullet"/>
      <w:lvlText w:val=""/>
      <w:lvlJc w:val="left"/>
      <w:pPr>
        <w:ind w:left="720" w:hanging="360"/>
      </w:pPr>
      <w:rPr>
        <w:rFonts w:ascii="Wingdings" w:hAnsi="Wingdings" w:hint="default"/>
      </w:rPr>
    </w:lvl>
    <w:lvl w:ilvl="1" w:tplc="6F769D80">
      <w:start w:val="1"/>
      <w:numFmt w:val="bullet"/>
      <w:lvlText w:val=""/>
      <w:lvlJc w:val="left"/>
      <w:pPr>
        <w:ind w:left="1440" w:hanging="360"/>
      </w:pPr>
      <w:rPr>
        <w:rFonts w:ascii="Symbol" w:hAnsi="Symbol" w:hint="default"/>
        <w:color w:val="auto"/>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0548F4"/>
    <w:multiLevelType w:val="hybridMultilevel"/>
    <w:tmpl w:val="E9865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C1793E"/>
    <w:multiLevelType w:val="hybridMultilevel"/>
    <w:tmpl w:val="03CCE9EA"/>
    <w:lvl w:ilvl="0" w:tplc="1B62DA94">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6637D1"/>
    <w:multiLevelType w:val="hybridMultilevel"/>
    <w:tmpl w:val="042A1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D149D7"/>
    <w:multiLevelType w:val="hybridMultilevel"/>
    <w:tmpl w:val="5930E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BFC2D42"/>
    <w:multiLevelType w:val="hybridMultilevel"/>
    <w:tmpl w:val="EDD225B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AF1A7A"/>
    <w:multiLevelType w:val="multilevel"/>
    <w:tmpl w:val="031A6A7E"/>
    <w:lvl w:ilvl="0">
      <w:start w:val="1"/>
      <w:numFmt w:val="decimal"/>
      <w:pStyle w:val="Nadpiskonc1"/>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589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2103E3B"/>
    <w:multiLevelType w:val="hybridMultilevel"/>
    <w:tmpl w:val="5262F78E"/>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32261BCD"/>
    <w:multiLevelType w:val="hybridMultilevel"/>
    <w:tmpl w:val="03CCE9EA"/>
    <w:lvl w:ilvl="0" w:tplc="1B62DA94">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3CB3F74"/>
    <w:multiLevelType w:val="hybridMultilevel"/>
    <w:tmpl w:val="E1D2D0EC"/>
    <w:lvl w:ilvl="0" w:tplc="04050001">
      <w:start w:val="1"/>
      <w:numFmt w:val="bullet"/>
      <w:lvlText w:val=""/>
      <w:lvlJc w:val="left"/>
      <w:pPr>
        <w:ind w:left="720" w:hanging="360"/>
      </w:pPr>
      <w:rPr>
        <w:rFonts w:ascii="Symbol" w:hAnsi="Symbol" w:hint="default"/>
      </w:rPr>
    </w:lvl>
    <w:lvl w:ilvl="1" w:tplc="04050003">
      <w:start w:val="1"/>
      <w:numFmt w:val="bullet"/>
      <w:pStyle w:val="Nadpiskonc2"/>
      <w:lvlText w:val="o"/>
      <w:lvlJc w:val="left"/>
      <w:pPr>
        <w:ind w:left="1440" w:hanging="360"/>
      </w:pPr>
      <w:rPr>
        <w:rFonts w:ascii="Courier New" w:hAnsi="Courier New" w:cs="Courier New" w:hint="default"/>
      </w:rPr>
    </w:lvl>
    <w:lvl w:ilvl="2" w:tplc="04050005">
      <w:start w:val="1"/>
      <w:numFmt w:val="bullet"/>
      <w:pStyle w:val="nadkonc3"/>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4376D0F"/>
    <w:multiLevelType w:val="hybridMultilevel"/>
    <w:tmpl w:val="3C40C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56E0C90"/>
    <w:multiLevelType w:val="hybridMultilevel"/>
    <w:tmpl w:val="5926A0E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5C33390"/>
    <w:multiLevelType w:val="hybridMultilevel"/>
    <w:tmpl w:val="94BA5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922095C"/>
    <w:multiLevelType w:val="hybridMultilevel"/>
    <w:tmpl w:val="3C723D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EE5D5B"/>
    <w:multiLevelType w:val="hybridMultilevel"/>
    <w:tmpl w:val="77AC6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44B3BB4"/>
    <w:multiLevelType w:val="hybridMultilevel"/>
    <w:tmpl w:val="31005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486001"/>
    <w:multiLevelType w:val="hybridMultilevel"/>
    <w:tmpl w:val="91B07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E735980"/>
    <w:multiLevelType w:val="hybridMultilevel"/>
    <w:tmpl w:val="86D89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06C7A28"/>
    <w:multiLevelType w:val="hybridMultilevel"/>
    <w:tmpl w:val="4FC25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57C3CD9"/>
    <w:multiLevelType w:val="hybridMultilevel"/>
    <w:tmpl w:val="26669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6055589"/>
    <w:multiLevelType w:val="hybridMultilevel"/>
    <w:tmpl w:val="78467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6682D73"/>
    <w:multiLevelType w:val="hybridMultilevel"/>
    <w:tmpl w:val="C01A3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1A2F62"/>
    <w:multiLevelType w:val="hybridMultilevel"/>
    <w:tmpl w:val="DE167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99A24B3"/>
    <w:multiLevelType w:val="hybridMultilevel"/>
    <w:tmpl w:val="5AB672EE"/>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1AF48F1"/>
    <w:multiLevelType w:val="hybridMultilevel"/>
    <w:tmpl w:val="303A9DC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1">
    <w:nsid w:val="690F2A9C"/>
    <w:multiLevelType w:val="hybridMultilevel"/>
    <w:tmpl w:val="B5AC1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9FA7BE5"/>
    <w:multiLevelType w:val="hybridMultilevel"/>
    <w:tmpl w:val="E2E296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A614A99"/>
    <w:multiLevelType w:val="hybridMultilevel"/>
    <w:tmpl w:val="3E024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E1D15EE"/>
    <w:multiLevelType w:val="hybridMultilevel"/>
    <w:tmpl w:val="F8129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FC17CFB"/>
    <w:multiLevelType w:val="hybridMultilevel"/>
    <w:tmpl w:val="049AE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FC76D29"/>
    <w:multiLevelType w:val="hybridMultilevel"/>
    <w:tmpl w:val="03CCE9EA"/>
    <w:lvl w:ilvl="0" w:tplc="1B62DA94">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0A547D8"/>
    <w:multiLevelType w:val="hybridMultilevel"/>
    <w:tmpl w:val="EA5E9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7BB25F7"/>
    <w:multiLevelType w:val="hybridMultilevel"/>
    <w:tmpl w:val="56149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C7731BE"/>
    <w:multiLevelType w:val="hybridMultilevel"/>
    <w:tmpl w:val="EEBEA2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9"/>
  </w:num>
  <w:num w:numId="4">
    <w:abstractNumId w:val="30"/>
  </w:num>
  <w:num w:numId="5">
    <w:abstractNumId w:val="9"/>
  </w:num>
  <w:num w:numId="6">
    <w:abstractNumId w:val="1"/>
  </w:num>
  <w:num w:numId="7">
    <w:abstractNumId w:val="38"/>
  </w:num>
  <w:num w:numId="8">
    <w:abstractNumId w:val="22"/>
  </w:num>
  <w:num w:numId="9">
    <w:abstractNumId w:val="12"/>
  </w:num>
  <w:num w:numId="10">
    <w:abstractNumId w:val="0"/>
  </w:num>
  <w:num w:numId="11">
    <w:abstractNumId w:val="28"/>
  </w:num>
  <w:num w:numId="12">
    <w:abstractNumId w:val="7"/>
  </w:num>
  <w:num w:numId="13">
    <w:abstractNumId w:val="24"/>
  </w:num>
  <w:num w:numId="14">
    <w:abstractNumId w:val="18"/>
  </w:num>
  <w:num w:numId="15">
    <w:abstractNumId w:val="20"/>
  </w:num>
  <w:num w:numId="16">
    <w:abstractNumId w:val="26"/>
  </w:num>
  <w:num w:numId="17">
    <w:abstractNumId w:val="25"/>
  </w:num>
  <w:num w:numId="18">
    <w:abstractNumId w:val="31"/>
  </w:num>
  <w:num w:numId="19">
    <w:abstractNumId w:val="37"/>
  </w:num>
  <w:num w:numId="20">
    <w:abstractNumId w:val="29"/>
  </w:num>
  <w:num w:numId="21">
    <w:abstractNumId w:val="13"/>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8"/>
  </w:num>
  <w:num w:numId="26">
    <w:abstractNumId w:val="10"/>
  </w:num>
  <w:num w:numId="27">
    <w:abstractNumId w:val="36"/>
  </w:num>
  <w:num w:numId="28">
    <w:abstractNumId w:val="14"/>
  </w:num>
  <w:num w:numId="29">
    <w:abstractNumId w:val="11"/>
  </w:num>
  <w:num w:numId="30">
    <w:abstractNumId w:val="4"/>
  </w:num>
  <w:num w:numId="31">
    <w:abstractNumId w:val="32"/>
  </w:num>
  <w:num w:numId="32">
    <w:abstractNumId w:val="27"/>
  </w:num>
  <w:num w:numId="33">
    <w:abstractNumId w:val="39"/>
  </w:num>
  <w:num w:numId="34">
    <w:abstractNumId w:val="23"/>
  </w:num>
  <w:num w:numId="35">
    <w:abstractNumId w:val="3"/>
  </w:num>
  <w:num w:numId="36">
    <w:abstractNumId w:val="21"/>
  </w:num>
  <w:num w:numId="3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12"/>
  </w:num>
  <w:num w:numId="41">
    <w:abstractNumId w:val="12"/>
  </w:num>
  <w:num w:numId="42">
    <w:abstractNumId w:val="12"/>
  </w:num>
  <w:num w:numId="43">
    <w:abstractNumId w:val="15"/>
  </w:num>
  <w:num w:numId="44">
    <w:abstractNumId w:val="15"/>
  </w:num>
  <w:num w:numId="45">
    <w:abstractNumId w:val="35"/>
  </w:num>
  <w:num w:numId="46">
    <w:abstractNumId w:val="33"/>
  </w:num>
  <w:num w:numId="47">
    <w:abstractNumId w:val="15"/>
  </w:num>
  <w:num w:numId="48">
    <w:abstractNumId w:val="1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ocumentProtection w:edit="readOnly" w:enforcement="1" w:cryptProviderType="rsaFull" w:cryptAlgorithmClass="hash" w:cryptAlgorithmType="typeAny" w:cryptAlgorithmSid="4" w:cryptSpinCount="100000" w:hash="ZyJVjoAlKoinLwk+QoGOZYi0hgA=" w:salt="6UuCAVcrMM7VT0028D8YR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6187"/>
    <w:rsid w:val="00005BB5"/>
    <w:rsid w:val="00006148"/>
    <w:rsid w:val="000062A4"/>
    <w:rsid w:val="00007023"/>
    <w:rsid w:val="0000703C"/>
    <w:rsid w:val="00015FB8"/>
    <w:rsid w:val="00017C69"/>
    <w:rsid w:val="000220EA"/>
    <w:rsid w:val="00022745"/>
    <w:rsid w:val="00023E19"/>
    <w:rsid w:val="00025337"/>
    <w:rsid w:val="00025B12"/>
    <w:rsid w:val="00026CCA"/>
    <w:rsid w:val="00027771"/>
    <w:rsid w:val="00031A08"/>
    <w:rsid w:val="00031FC5"/>
    <w:rsid w:val="0003374B"/>
    <w:rsid w:val="000363FC"/>
    <w:rsid w:val="000371C9"/>
    <w:rsid w:val="00037EAE"/>
    <w:rsid w:val="0004084F"/>
    <w:rsid w:val="00041B82"/>
    <w:rsid w:val="000428AB"/>
    <w:rsid w:val="00042D2C"/>
    <w:rsid w:val="00044DA8"/>
    <w:rsid w:val="00047175"/>
    <w:rsid w:val="00047AC1"/>
    <w:rsid w:val="000510FC"/>
    <w:rsid w:val="0005115F"/>
    <w:rsid w:val="000511B4"/>
    <w:rsid w:val="00051367"/>
    <w:rsid w:val="00052D0E"/>
    <w:rsid w:val="00053437"/>
    <w:rsid w:val="00053574"/>
    <w:rsid w:val="00054D88"/>
    <w:rsid w:val="000565D4"/>
    <w:rsid w:val="00062AE5"/>
    <w:rsid w:val="00065867"/>
    <w:rsid w:val="000666A1"/>
    <w:rsid w:val="0006704E"/>
    <w:rsid w:val="00070AB1"/>
    <w:rsid w:val="00070BBA"/>
    <w:rsid w:val="00071568"/>
    <w:rsid w:val="0007161B"/>
    <w:rsid w:val="00072A94"/>
    <w:rsid w:val="00075D16"/>
    <w:rsid w:val="00076447"/>
    <w:rsid w:val="00077EF9"/>
    <w:rsid w:val="00085B53"/>
    <w:rsid w:val="00087018"/>
    <w:rsid w:val="000909C2"/>
    <w:rsid w:val="000917EE"/>
    <w:rsid w:val="000920DB"/>
    <w:rsid w:val="0009217D"/>
    <w:rsid w:val="000925F0"/>
    <w:rsid w:val="00092C36"/>
    <w:rsid w:val="000931FF"/>
    <w:rsid w:val="000960D7"/>
    <w:rsid w:val="00097E38"/>
    <w:rsid w:val="000A1739"/>
    <w:rsid w:val="000A2055"/>
    <w:rsid w:val="000A3C2C"/>
    <w:rsid w:val="000A5A55"/>
    <w:rsid w:val="000B54BD"/>
    <w:rsid w:val="000C17DA"/>
    <w:rsid w:val="000C1B04"/>
    <w:rsid w:val="000C3FE7"/>
    <w:rsid w:val="000C4E33"/>
    <w:rsid w:val="000C52A6"/>
    <w:rsid w:val="000C561D"/>
    <w:rsid w:val="000C6631"/>
    <w:rsid w:val="000C6AED"/>
    <w:rsid w:val="000C79B8"/>
    <w:rsid w:val="000D085C"/>
    <w:rsid w:val="000D0C0E"/>
    <w:rsid w:val="000D141F"/>
    <w:rsid w:val="000D14BE"/>
    <w:rsid w:val="000D1F16"/>
    <w:rsid w:val="000D305D"/>
    <w:rsid w:val="000D35B3"/>
    <w:rsid w:val="000D50AE"/>
    <w:rsid w:val="000D6F36"/>
    <w:rsid w:val="000E22F5"/>
    <w:rsid w:val="000E23D3"/>
    <w:rsid w:val="000E2AEC"/>
    <w:rsid w:val="000E2F48"/>
    <w:rsid w:val="000E3298"/>
    <w:rsid w:val="000E332B"/>
    <w:rsid w:val="000E4643"/>
    <w:rsid w:val="000E5C2C"/>
    <w:rsid w:val="000E607B"/>
    <w:rsid w:val="000E6D4F"/>
    <w:rsid w:val="000F3497"/>
    <w:rsid w:val="000F37E9"/>
    <w:rsid w:val="000F41AC"/>
    <w:rsid w:val="000F5870"/>
    <w:rsid w:val="000F6634"/>
    <w:rsid w:val="000F680A"/>
    <w:rsid w:val="0010028E"/>
    <w:rsid w:val="00100828"/>
    <w:rsid w:val="00101959"/>
    <w:rsid w:val="001033C4"/>
    <w:rsid w:val="00103B3A"/>
    <w:rsid w:val="00104DD1"/>
    <w:rsid w:val="00105D02"/>
    <w:rsid w:val="001069E5"/>
    <w:rsid w:val="00106E66"/>
    <w:rsid w:val="00111344"/>
    <w:rsid w:val="001124FE"/>
    <w:rsid w:val="001168A6"/>
    <w:rsid w:val="00120332"/>
    <w:rsid w:val="00120F44"/>
    <w:rsid w:val="001211CC"/>
    <w:rsid w:val="00123AAC"/>
    <w:rsid w:val="00123C94"/>
    <w:rsid w:val="00123CB7"/>
    <w:rsid w:val="00123F08"/>
    <w:rsid w:val="00130152"/>
    <w:rsid w:val="00130FA8"/>
    <w:rsid w:val="00131756"/>
    <w:rsid w:val="00132D66"/>
    <w:rsid w:val="00133969"/>
    <w:rsid w:val="0013675F"/>
    <w:rsid w:val="001372F5"/>
    <w:rsid w:val="00140E26"/>
    <w:rsid w:val="00142B90"/>
    <w:rsid w:val="00142FBE"/>
    <w:rsid w:val="00143239"/>
    <w:rsid w:val="001448D9"/>
    <w:rsid w:val="00145D04"/>
    <w:rsid w:val="0015035B"/>
    <w:rsid w:val="00151C25"/>
    <w:rsid w:val="0015215A"/>
    <w:rsid w:val="00152D0E"/>
    <w:rsid w:val="00154AAB"/>
    <w:rsid w:val="00155517"/>
    <w:rsid w:val="00157B83"/>
    <w:rsid w:val="00160234"/>
    <w:rsid w:val="00161BDC"/>
    <w:rsid w:val="001620F9"/>
    <w:rsid w:val="00164094"/>
    <w:rsid w:val="00164C40"/>
    <w:rsid w:val="00166048"/>
    <w:rsid w:val="001669EB"/>
    <w:rsid w:val="00171D96"/>
    <w:rsid w:val="00172CE7"/>
    <w:rsid w:val="001733A7"/>
    <w:rsid w:val="0017374A"/>
    <w:rsid w:val="0018169D"/>
    <w:rsid w:val="00181BAB"/>
    <w:rsid w:val="00182262"/>
    <w:rsid w:val="001862AC"/>
    <w:rsid w:val="001879B7"/>
    <w:rsid w:val="001932E4"/>
    <w:rsid w:val="001945F1"/>
    <w:rsid w:val="0019561C"/>
    <w:rsid w:val="00195793"/>
    <w:rsid w:val="001A02AB"/>
    <w:rsid w:val="001A4347"/>
    <w:rsid w:val="001B1074"/>
    <w:rsid w:val="001B291A"/>
    <w:rsid w:val="001B445C"/>
    <w:rsid w:val="001B4A7D"/>
    <w:rsid w:val="001B7B34"/>
    <w:rsid w:val="001B7CE3"/>
    <w:rsid w:val="001C15AD"/>
    <w:rsid w:val="001C184B"/>
    <w:rsid w:val="001C3B54"/>
    <w:rsid w:val="001C487A"/>
    <w:rsid w:val="001C6BEB"/>
    <w:rsid w:val="001C6F04"/>
    <w:rsid w:val="001C707B"/>
    <w:rsid w:val="001D0B29"/>
    <w:rsid w:val="001D1817"/>
    <w:rsid w:val="001D1C9E"/>
    <w:rsid w:val="001D3F57"/>
    <w:rsid w:val="001D4A6F"/>
    <w:rsid w:val="001D4D39"/>
    <w:rsid w:val="001D571B"/>
    <w:rsid w:val="001D718F"/>
    <w:rsid w:val="001D7D92"/>
    <w:rsid w:val="001E2C09"/>
    <w:rsid w:val="001E6187"/>
    <w:rsid w:val="001E65B9"/>
    <w:rsid w:val="001E6F1A"/>
    <w:rsid w:val="001E7F8A"/>
    <w:rsid w:val="001F0924"/>
    <w:rsid w:val="001F2D25"/>
    <w:rsid w:val="001F3C78"/>
    <w:rsid w:val="001F3CD3"/>
    <w:rsid w:val="001F445B"/>
    <w:rsid w:val="001F75A4"/>
    <w:rsid w:val="001F78C7"/>
    <w:rsid w:val="001F7B9F"/>
    <w:rsid w:val="0020154F"/>
    <w:rsid w:val="00202FF3"/>
    <w:rsid w:val="00203C6D"/>
    <w:rsid w:val="0020512C"/>
    <w:rsid w:val="002063E7"/>
    <w:rsid w:val="002072A7"/>
    <w:rsid w:val="0021004B"/>
    <w:rsid w:val="00211F97"/>
    <w:rsid w:val="00213212"/>
    <w:rsid w:val="0021506C"/>
    <w:rsid w:val="00217180"/>
    <w:rsid w:val="002236A7"/>
    <w:rsid w:val="0022558A"/>
    <w:rsid w:val="00227484"/>
    <w:rsid w:val="002275FC"/>
    <w:rsid w:val="00231968"/>
    <w:rsid w:val="002319EF"/>
    <w:rsid w:val="0023283A"/>
    <w:rsid w:val="00232F7C"/>
    <w:rsid w:val="002373C8"/>
    <w:rsid w:val="002403D7"/>
    <w:rsid w:val="00242889"/>
    <w:rsid w:val="0024306B"/>
    <w:rsid w:val="0024348A"/>
    <w:rsid w:val="002453C8"/>
    <w:rsid w:val="002456C4"/>
    <w:rsid w:val="0025018F"/>
    <w:rsid w:val="00251539"/>
    <w:rsid w:val="00262278"/>
    <w:rsid w:val="002626C2"/>
    <w:rsid w:val="00262A6D"/>
    <w:rsid w:val="00265733"/>
    <w:rsid w:val="002679A8"/>
    <w:rsid w:val="002748A1"/>
    <w:rsid w:val="002755AC"/>
    <w:rsid w:val="002759F4"/>
    <w:rsid w:val="0027663B"/>
    <w:rsid w:val="0027672A"/>
    <w:rsid w:val="00276891"/>
    <w:rsid w:val="00281136"/>
    <w:rsid w:val="0028715D"/>
    <w:rsid w:val="00287D78"/>
    <w:rsid w:val="002915E3"/>
    <w:rsid w:val="002916DB"/>
    <w:rsid w:val="00292266"/>
    <w:rsid w:val="00293D1D"/>
    <w:rsid w:val="00293DC6"/>
    <w:rsid w:val="002948B7"/>
    <w:rsid w:val="002952CE"/>
    <w:rsid w:val="00295E59"/>
    <w:rsid w:val="00296FE3"/>
    <w:rsid w:val="002971EB"/>
    <w:rsid w:val="002A0CAB"/>
    <w:rsid w:val="002A2B2E"/>
    <w:rsid w:val="002A4389"/>
    <w:rsid w:val="002A4DBC"/>
    <w:rsid w:val="002A55A0"/>
    <w:rsid w:val="002A7296"/>
    <w:rsid w:val="002B12AD"/>
    <w:rsid w:val="002B5C2B"/>
    <w:rsid w:val="002B74A2"/>
    <w:rsid w:val="002C1A9F"/>
    <w:rsid w:val="002C2815"/>
    <w:rsid w:val="002C2A0D"/>
    <w:rsid w:val="002C3A2B"/>
    <w:rsid w:val="002C5A56"/>
    <w:rsid w:val="002C71D5"/>
    <w:rsid w:val="002C7709"/>
    <w:rsid w:val="002D086E"/>
    <w:rsid w:val="002D1439"/>
    <w:rsid w:val="002D3A47"/>
    <w:rsid w:val="002D4795"/>
    <w:rsid w:val="002D4A50"/>
    <w:rsid w:val="002D4D7F"/>
    <w:rsid w:val="002D6065"/>
    <w:rsid w:val="002D640B"/>
    <w:rsid w:val="002D677E"/>
    <w:rsid w:val="002E4DCE"/>
    <w:rsid w:val="002E501B"/>
    <w:rsid w:val="002E6BA1"/>
    <w:rsid w:val="002F1210"/>
    <w:rsid w:val="002F1FD0"/>
    <w:rsid w:val="002F3868"/>
    <w:rsid w:val="002F3FD8"/>
    <w:rsid w:val="002F55BC"/>
    <w:rsid w:val="002F64B9"/>
    <w:rsid w:val="00300D39"/>
    <w:rsid w:val="003016CC"/>
    <w:rsid w:val="00304766"/>
    <w:rsid w:val="00306517"/>
    <w:rsid w:val="00307F3A"/>
    <w:rsid w:val="00312502"/>
    <w:rsid w:val="0031279C"/>
    <w:rsid w:val="0031455D"/>
    <w:rsid w:val="00314709"/>
    <w:rsid w:val="00314B1F"/>
    <w:rsid w:val="0031532A"/>
    <w:rsid w:val="00315CC6"/>
    <w:rsid w:val="003201BD"/>
    <w:rsid w:val="0032034B"/>
    <w:rsid w:val="00321114"/>
    <w:rsid w:val="003252CD"/>
    <w:rsid w:val="00325FAA"/>
    <w:rsid w:val="003268B4"/>
    <w:rsid w:val="00326A86"/>
    <w:rsid w:val="00327EB6"/>
    <w:rsid w:val="003304A7"/>
    <w:rsid w:val="00330B28"/>
    <w:rsid w:val="00330DA6"/>
    <w:rsid w:val="00331E41"/>
    <w:rsid w:val="00333611"/>
    <w:rsid w:val="00333E38"/>
    <w:rsid w:val="00334355"/>
    <w:rsid w:val="00335B56"/>
    <w:rsid w:val="0033686B"/>
    <w:rsid w:val="00336927"/>
    <w:rsid w:val="00337ED8"/>
    <w:rsid w:val="003409C4"/>
    <w:rsid w:val="00342902"/>
    <w:rsid w:val="003435D5"/>
    <w:rsid w:val="00347B30"/>
    <w:rsid w:val="003557B7"/>
    <w:rsid w:val="00355825"/>
    <w:rsid w:val="00356F56"/>
    <w:rsid w:val="003622C9"/>
    <w:rsid w:val="0036375F"/>
    <w:rsid w:val="00363CDC"/>
    <w:rsid w:val="00364280"/>
    <w:rsid w:val="00364832"/>
    <w:rsid w:val="00364E02"/>
    <w:rsid w:val="00367CA8"/>
    <w:rsid w:val="003702A6"/>
    <w:rsid w:val="003702EF"/>
    <w:rsid w:val="00370E47"/>
    <w:rsid w:val="00381F27"/>
    <w:rsid w:val="00382F2E"/>
    <w:rsid w:val="00382FF3"/>
    <w:rsid w:val="0038393E"/>
    <w:rsid w:val="00385084"/>
    <w:rsid w:val="00385D24"/>
    <w:rsid w:val="003870A5"/>
    <w:rsid w:val="003904FF"/>
    <w:rsid w:val="0039137C"/>
    <w:rsid w:val="00392EBC"/>
    <w:rsid w:val="00393699"/>
    <w:rsid w:val="00394E41"/>
    <w:rsid w:val="0039553C"/>
    <w:rsid w:val="00397185"/>
    <w:rsid w:val="003A1308"/>
    <w:rsid w:val="003A267D"/>
    <w:rsid w:val="003A43ED"/>
    <w:rsid w:val="003A5178"/>
    <w:rsid w:val="003B0C99"/>
    <w:rsid w:val="003B2A9D"/>
    <w:rsid w:val="003C01A3"/>
    <w:rsid w:val="003C064D"/>
    <w:rsid w:val="003C1547"/>
    <w:rsid w:val="003C2626"/>
    <w:rsid w:val="003D1073"/>
    <w:rsid w:val="003D2209"/>
    <w:rsid w:val="003D3B0B"/>
    <w:rsid w:val="003D3E9E"/>
    <w:rsid w:val="003D4F90"/>
    <w:rsid w:val="003D5AC2"/>
    <w:rsid w:val="003E07CC"/>
    <w:rsid w:val="003E0ABB"/>
    <w:rsid w:val="003E1426"/>
    <w:rsid w:val="003E2FA8"/>
    <w:rsid w:val="003E4247"/>
    <w:rsid w:val="003E48DC"/>
    <w:rsid w:val="003E4C28"/>
    <w:rsid w:val="003E6CAF"/>
    <w:rsid w:val="003F00BB"/>
    <w:rsid w:val="003F09AD"/>
    <w:rsid w:val="003F2A8C"/>
    <w:rsid w:val="003F2CF6"/>
    <w:rsid w:val="003F3EBB"/>
    <w:rsid w:val="004003A2"/>
    <w:rsid w:val="00400A97"/>
    <w:rsid w:val="00400EEB"/>
    <w:rsid w:val="00401BCA"/>
    <w:rsid w:val="00402177"/>
    <w:rsid w:val="00403468"/>
    <w:rsid w:val="00404BC3"/>
    <w:rsid w:val="00405538"/>
    <w:rsid w:val="00405A6E"/>
    <w:rsid w:val="004062D7"/>
    <w:rsid w:val="00410678"/>
    <w:rsid w:val="00410B98"/>
    <w:rsid w:val="0041120D"/>
    <w:rsid w:val="004137D6"/>
    <w:rsid w:val="00414D6B"/>
    <w:rsid w:val="00417676"/>
    <w:rsid w:val="0042322A"/>
    <w:rsid w:val="00424CD3"/>
    <w:rsid w:val="0043178B"/>
    <w:rsid w:val="00432216"/>
    <w:rsid w:val="004330EB"/>
    <w:rsid w:val="004349A1"/>
    <w:rsid w:val="00436286"/>
    <w:rsid w:val="0043752C"/>
    <w:rsid w:val="00444494"/>
    <w:rsid w:val="00444D8C"/>
    <w:rsid w:val="00445E25"/>
    <w:rsid w:val="00447CF6"/>
    <w:rsid w:val="00452532"/>
    <w:rsid w:val="00460916"/>
    <w:rsid w:val="00465D05"/>
    <w:rsid w:val="00466569"/>
    <w:rsid w:val="00466BA4"/>
    <w:rsid w:val="004674E0"/>
    <w:rsid w:val="00472145"/>
    <w:rsid w:val="00474B84"/>
    <w:rsid w:val="00475399"/>
    <w:rsid w:val="00477FF6"/>
    <w:rsid w:val="00480434"/>
    <w:rsid w:val="00480FFD"/>
    <w:rsid w:val="0048425F"/>
    <w:rsid w:val="00484F84"/>
    <w:rsid w:val="0048536B"/>
    <w:rsid w:val="00487449"/>
    <w:rsid w:val="00490178"/>
    <w:rsid w:val="004908C2"/>
    <w:rsid w:val="00491A0A"/>
    <w:rsid w:val="004940AC"/>
    <w:rsid w:val="00494937"/>
    <w:rsid w:val="004954D4"/>
    <w:rsid w:val="00497053"/>
    <w:rsid w:val="004A2577"/>
    <w:rsid w:val="004A3408"/>
    <w:rsid w:val="004A5334"/>
    <w:rsid w:val="004A6626"/>
    <w:rsid w:val="004B01CA"/>
    <w:rsid w:val="004B1B36"/>
    <w:rsid w:val="004B2494"/>
    <w:rsid w:val="004B414A"/>
    <w:rsid w:val="004B5A8D"/>
    <w:rsid w:val="004B603D"/>
    <w:rsid w:val="004B6D59"/>
    <w:rsid w:val="004C010C"/>
    <w:rsid w:val="004C030B"/>
    <w:rsid w:val="004C061E"/>
    <w:rsid w:val="004C0B92"/>
    <w:rsid w:val="004C0C1E"/>
    <w:rsid w:val="004C19C1"/>
    <w:rsid w:val="004C4E44"/>
    <w:rsid w:val="004C637A"/>
    <w:rsid w:val="004D0026"/>
    <w:rsid w:val="004D1134"/>
    <w:rsid w:val="004D2E69"/>
    <w:rsid w:val="004D32DF"/>
    <w:rsid w:val="004D338D"/>
    <w:rsid w:val="004D40DF"/>
    <w:rsid w:val="004D4D90"/>
    <w:rsid w:val="004D5A47"/>
    <w:rsid w:val="004D63CE"/>
    <w:rsid w:val="004D7BF1"/>
    <w:rsid w:val="004D7CF4"/>
    <w:rsid w:val="004E23B2"/>
    <w:rsid w:val="004E69C7"/>
    <w:rsid w:val="004E6BD8"/>
    <w:rsid w:val="004E7C04"/>
    <w:rsid w:val="004F0933"/>
    <w:rsid w:val="004F0F1F"/>
    <w:rsid w:val="004F17A8"/>
    <w:rsid w:val="004F3E07"/>
    <w:rsid w:val="004F6598"/>
    <w:rsid w:val="00500457"/>
    <w:rsid w:val="005011DF"/>
    <w:rsid w:val="00504EFF"/>
    <w:rsid w:val="00505F01"/>
    <w:rsid w:val="005147B1"/>
    <w:rsid w:val="00514B1E"/>
    <w:rsid w:val="00514F26"/>
    <w:rsid w:val="00516253"/>
    <w:rsid w:val="00521701"/>
    <w:rsid w:val="00521B09"/>
    <w:rsid w:val="00521BE8"/>
    <w:rsid w:val="00521D9D"/>
    <w:rsid w:val="00521F32"/>
    <w:rsid w:val="0052336B"/>
    <w:rsid w:val="005238C4"/>
    <w:rsid w:val="0052403F"/>
    <w:rsid w:val="00525EBD"/>
    <w:rsid w:val="005306F4"/>
    <w:rsid w:val="00531553"/>
    <w:rsid w:val="00532318"/>
    <w:rsid w:val="00532D9C"/>
    <w:rsid w:val="00534B64"/>
    <w:rsid w:val="0053516C"/>
    <w:rsid w:val="0054118A"/>
    <w:rsid w:val="005425EA"/>
    <w:rsid w:val="00542780"/>
    <w:rsid w:val="00542932"/>
    <w:rsid w:val="005455E6"/>
    <w:rsid w:val="005510DA"/>
    <w:rsid w:val="00552B2F"/>
    <w:rsid w:val="00554DFF"/>
    <w:rsid w:val="00557D2F"/>
    <w:rsid w:val="00560BD6"/>
    <w:rsid w:val="0056574D"/>
    <w:rsid w:val="005679C3"/>
    <w:rsid w:val="005704E6"/>
    <w:rsid w:val="00570F5E"/>
    <w:rsid w:val="00571BAF"/>
    <w:rsid w:val="00574112"/>
    <w:rsid w:val="00575FB1"/>
    <w:rsid w:val="00576239"/>
    <w:rsid w:val="00576304"/>
    <w:rsid w:val="00580963"/>
    <w:rsid w:val="00581022"/>
    <w:rsid w:val="005832AC"/>
    <w:rsid w:val="00586AB0"/>
    <w:rsid w:val="00587A1A"/>
    <w:rsid w:val="0059017F"/>
    <w:rsid w:val="005917E1"/>
    <w:rsid w:val="00594F85"/>
    <w:rsid w:val="00597794"/>
    <w:rsid w:val="005A092C"/>
    <w:rsid w:val="005A20C7"/>
    <w:rsid w:val="005A693A"/>
    <w:rsid w:val="005B0040"/>
    <w:rsid w:val="005B05B2"/>
    <w:rsid w:val="005B110A"/>
    <w:rsid w:val="005B1502"/>
    <w:rsid w:val="005B1C52"/>
    <w:rsid w:val="005B3708"/>
    <w:rsid w:val="005B43AD"/>
    <w:rsid w:val="005B4712"/>
    <w:rsid w:val="005B58C0"/>
    <w:rsid w:val="005C09E7"/>
    <w:rsid w:val="005C22C1"/>
    <w:rsid w:val="005C6DC1"/>
    <w:rsid w:val="005C7C83"/>
    <w:rsid w:val="005D07FC"/>
    <w:rsid w:val="005D175F"/>
    <w:rsid w:val="005D22C4"/>
    <w:rsid w:val="005D28B5"/>
    <w:rsid w:val="005D43AE"/>
    <w:rsid w:val="005D45A3"/>
    <w:rsid w:val="005E0AE7"/>
    <w:rsid w:val="005E116A"/>
    <w:rsid w:val="005E191A"/>
    <w:rsid w:val="005E1EFD"/>
    <w:rsid w:val="005E2CC2"/>
    <w:rsid w:val="005E393E"/>
    <w:rsid w:val="005E3B8D"/>
    <w:rsid w:val="005E51C1"/>
    <w:rsid w:val="005E5989"/>
    <w:rsid w:val="005F1B60"/>
    <w:rsid w:val="005F2F0A"/>
    <w:rsid w:val="005F4B3C"/>
    <w:rsid w:val="005F624B"/>
    <w:rsid w:val="00603C5C"/>
    <w:rsid w:val="00604B4E"/>
    <w:rsid w:val="0060528F"/>
    <w:rsid w:val="00605D02"/>
    <w:rsid w:val="006062DF"/>
    <w:rsid w:val="00610BA0"/>
    <w:rsid w:val="00610CE6"/>
    <w:rsid w:val="00610DFE"/>
    <w:rsid w:val="006128F3"/>
    <w:rsid w:val="00612918"/>
    <w:rsid w:val="006135C3"/>
    <w:rsid w:val="006141B2"/>
    <w:rsid w:val="00615B61"/>
    <w:rsid w:val="00616ED6"/>
    <w:rsid w:val="00620BA2"/>
    <w:rsid w:val="0062113D"/>
    <w:rsid w:val="00622E67"/>
    <w:rsid w:val="00623758"/>
    <w:rsid w:val="00623FBA"/>
    <w:rsid w:val="006245CA"/>
    <w:rsid w:val="006251EE"/>
    <w:rsid w:val="00625615"/>
    <w:rsid w:val="00625F38"/>
    <w:rsid w:val="0063079B"/>
    <w:rsid w:val="006316DE"/>
    <w:rsid w:val="0063225B"/>
    <w:rsid w:val="00632D70"/>
    <w:rsid w:val="006337CD"/>
    <w:rsid w:val="006339A6"/>
    <w:rsid w:val="006340BF"/>
    <w:rsid w:val="00637AB8"/>
    <w:rsid w:val="006412F5"/>
    <w:rsid w:val="00641D19"/>
    <w:rsid w:val="006422AC"/>
    <w:rsid w:val="00643B3C"/>
    <w:rsid w:val="00647155"/>
    <w:rsid w:val="00651B21"/>
    <w:rsid w:val="00654878"/>
    <w:rsid w:val="00655DF3"/>
    <w:rsid w:val="00655F78"/>
    <w:rsid w:val="0066049A"/>
    <w:rsid w:val="00661811"/>
    <w:rsid w:val="006622C5"/>
    <w:rsid w:val="00662C0D"/>
    <w:rsid w:val="0066362A"/>
    <w:rsid w:val="00665F1D"/>
    <w:rsid w:val="006672FB"/>
    <w:rsid w:val="00667F27"/>
    <w:rsid w:val="00671453"/>
    <w:rsid w:val="00672756"/>
    <w:rsid w:val="00674473"/>
    <w:rsid w:val="006748AA"/>
    <w:rsid w:val="006765F8"/>
    <w:rsid w:val="00676D79"/>
    <w:rsid w:val="006776BF"/>
    <w:rsid w:val="00682857"/>
    <w:rsid w:val="00682BA0"/>
    <w:rsid w:val="006834D1"/>
    <w:rsid w:val="0069012A"/>
    <w:rsid w:val="0069024B"/>
    <w:rsid w:val="00692A9C"/>
    <w:rsid w:val="00693246"/>
    <w:rsid w:val="006937C5"/>
    <w:rsid w:val="00693C87"/>
    <w:rsid w:val="00694964"/>
    <w:rsid w:val="00696537"/>
    <w:rsid w:val="006A04E3"/>
    <w:rsid w:val="006A2BC5"/>
    <w:rsid w:val="006A4343"/>
    <w:rsid w:val="006A4E89"/>
    <w:rsid w:val="006A68CB"/>
    <w:rsid w:val="006A6EF9"/>
    <w:rsid w:val="006A70D2"/>
    <w:rsid w:val="006B12A0"/>
    <w:rsid w:val="006B2014"/>
    <w:rsid w:val="006B265D"/>
    <w:rsid w:val="006B2FDE"/>
    <w:rsid w:val="006B3D7E"/>
    <w:rsid w:val="006B3FE6"/>
    <w:rsid w:val="006B4DDD"/>
    <w:rsid w:val="006B52E8"/>
    <w:rsid w:val="006B5EEA"/>
    <w:rsid w:val="006C06D8"/>
    <w:rsid w:val="006C181E"/>
    <w:rsid w:val="006C4C02"/>
    <w:rsid w:val="006C4C63"/>
    <w:rsid w:val="006C4DEE"/>
    <w:rsid w:val="006C546C"/>
    <w:rsid w:val="006C5A7F"/>
    <w:rsid w:val="006C5C76"/>
    <w:rsid w:val="006C65A9"/>
    <w:rsid w:val="006C6F72"/>
    <w:rsid w:val="006D0587"/>
    <w:rsid w:val="006D0AE1"/>
    <w:rsid w:val="006D0B23"/>
    <w:rsid w:val="006D0FFB"/>
    <w:rsid w:val="006D2985"/>
    <w:rsid w:val="006D4D6F"/>
    <w:rsid w:val="006D7993"/>
    <w:rsid w:val="006E0CD3"/>
    <w:rsid w:val="006E246D"/>
    <w:rsid w:val="006E281E"/>
    <w:rsid w:val="006E4302"/>
    <w:rsid w:val="006F23BB"/>
    <w:rsid w:val="006F35BB"/>
    <w:rsid w:val="006F3882"/>
    <w:rsid w:val="006F76CF"/>
    <w:rsid w:val="0070095B"/>
    <w:rsid w:val="00701B6B"/>
    <w:rsid w:val="00702EF0"/>
    <w:rsid w:val="00703B16"/>
    <w:rsid w:val="00705AD2"/>
    <w:rsid w:val="0070704C"/>
    <w:rsid w:val="007112EA"/>
    <w:rsid w:val="0071345E"/>
    <w:rsid w:val="00714B18"/>
    <w:rsid w:val="00714B91"/>
    <w:rsid w:val="007165FF"/>
    <w:rsid w:val="00720E61"/>
    <w:rsid w:val="00720FC6"/>
    <w:rsid w:val="00725550"/>
    <w:rsid w:val="00726168"/>
    <w:rsid w:val="00726E2B"/>
    <w:rsid w:val="00727373"/>
    <w:rsid w:val="00731319"/>
    <w:rsid w:val="0073145A"/>
    <w:rsid w:val="00731466"/>
    <w:rsid w:val="007319C8"/>
    <w:rsid w:val="00732043"/>
    <w:rsid w:val="00732F3A"/>
    <w:rsid w:val="007347CB"/>
    <w:rsid w:val="00734CB4"/>
    <w:rsid w:val="00735A36"/>
    <w:rsid w:val="00735EC0"/>
    <w:rsid w:val="0073756E"/>
    <w:rsid w:val="00741F81"/>
    <w:rsid w:val="0074362D"/>
    <w:rsid w:val="007437CB"/>
    <w:rsid w:val="00744F1A"/>
    <w:rsid w:val="007457B1"/>
    <w:rsid w:val="00745855"/>
    <w:rsid w:val="0074589D"/>
    <w:rsid w:val="0074593A"/>
    <w:rsid w:val="0074777C"/>
    <w:rsid w:val="00750F52"/>
    <w:rsid w:val="00751D1B"/>
    <w:rsid w:val="00751D42"/>
    <w:rsid w:val="00752FDF"/>
    <w:rsid w:val="00754FE3"/>
    <w:rsid w:val="0075559F"/>
    <w:rsid w:val="0075565A"/>
    <w:rsid w:val="00755E02"/>
    <w:rsid w:val="00756336"/>
    <w:rsid w:val="00757981"/>
    <w:rsid w:val="00757B63"/>
    <w:rsid w:val="00761116"/>
    <w:rsid w:val="00762738"/>
    <w:rsid w:val="00762A89"/>
    <w:rsid w:val="00763A0C"/>
    <w:rsid w:val="00763E9D"/>
    <w:rsid w:val="00767A94"/>
    <w:rsid w:val="007703E7"/>
    <w:rsid w:val="00770790"/>
    <w:rsid w:val="007723EF"/>
    <w:rsid w:val="007728F3"/>
    <w:rsid w:val="00772BC5"/>
    <w:rsid w:val="00773EB5"/>
    <w:rsid w:val="00776544"/>
    <w:rsid w:val="0078007C"/>
    <w:rsid w:val="00781A08"/>
    <w:rsid w:val="00785B82"/>
    <w:rsid w:val="007877E2"/>
    <w:rsid w:val="007903EE"/>
    <w:rsid w:val="00793D59"/>
    <w:rsid w:val="0079540D"/>
    <w:rsid w:val="007A01A3"/>
    <w:rsid w:val="007A250B"/>
    <w:rsid w:val="007A55EF"/>
    <w:rsid w:val="007A5A0A"/>
    <w:rsid w:val="007A5A59"/>
    <w:rsid w:val="007B07AB"/>
    <w:rsid w:val="007B0A51"/>
    <w:rsid w:val="007B513A"/>
    <w:rsid w:val="007B70DF"/>
    <w:rsid w:val="007C0E5B"/>
    <w:rsid w:val="007C2910"/>
    <w:rsid w:val="007C29E3"/>
    <w:rsid w:val="007C34D6"/>
    <w:rsid w:val="007C36F7"/>
    <w:rsid w:val="007C3AB9"/>
    <w:rsid w:val="007C3E03"/>
    <w:rsid w:val="007C54D9"/>
    <w:rsid w:val="007C6D85"/>
    <w:rsid w:val="007D08BE"/>
    <w:rsid w:val="007D1F39"/>
    <w:rsid w:val="007D36A8"/>
    <w:rsid w:val="007D4BDC"/>
    <w:rsid w:val="007D56B8"/>
    <w:rsid w:val="007D689C"/>
    <w:rsid w:val="007D6C9D"/>
    <w:rsid w:val="007D73E6"/>
    <w:rsid w:val="007E0DB5"/>
    <w:rsid w:val="007E112D"/>
    <w:rsid w:val="007E219C"/>
    <w:rsid w:val="007E37F6"/>
    <w:rsid w:val="007F0771"/>
    <w:rsid w:val="007F2283"/>
    <w:rsid w:val="007F5B66"/>
    <w:rsid w:val="007F5DA0"/>
    <w:rsid w:val="007F6235"/>
    <w:rsid w:val="00800103"/>
    <w:rsid w:val="00800C6A"/>
    <w:rsid w:val="00801105"/>
    <w:rsid w:val="0080218D"/>
    <w:rsid w:val="00803C29"/>
    <w:rsid w:val="00805AD7"/>
    <w:rsid w:val="00807AD7"/>
    <w:rsid w:val="00810EE9"/>
    <w:rsid w:val="008115EA"/>
    <w:rsid w:val="00811C19"/>
    <w:rsid w:val="008126E4"/>
    <w:rsid w:val="00814C7E"/>
    <w:rsid w:val="00822069"/>
    <w:rsid w:val="0082534E"/>
    <w:rsid w:val="00825B10"/>
    <w:rsid w:val="0082749F"/>
    <w:rsid w:val="00827C59"/>
    <w:rsid w:val="00830118"/>
    <w:rsid w:val="008313B0"/>
    <w:rsid w:val="00834CE6"/>
    <w:rsid w:val="00842AD5"/>
    <w:rsid w:val="00844C10"/>
    <w:rsid w:val="008455B6"/>
    <w:rsid w:val="00846436"/>
    <w:rsid w:val="00846FCD"/>
    <w:rsid w:val="00850291"/>
    <w:rsid w:val="0085394E"/>
    <w:rsid w:val="0085505C"/>
    <w:rsid w:val="008557F6"/>
    <w:rsid w:val="00856DAF"/>
    <w:rsid w:val="00861260"/>
    <w:rsid w:val="00867810"/>
    <w:rsid w:val="00870706"/>
    <w:rsid w:val="00870F1D"/>
    <w:rsid w:val="00871670"/>
    <w:rsid w:val="00873001"/>
    <w:rsid w:val="00874FFE"/>
    <w:rsid w:val="00875462"/>
    <w:rsid w:val="0087585E"/>
    <w:rsid w:val="00881189"/>
    <w:rsid w:val="00883F45"/>
    <w:rsid w:val="0088462A"/>
    <w:rsid w:val="00885F2E"/>
    <w:rsid w:val="00886B22"/>
    <w:rsid w:val="0088721F"/>
    <w:rsid w:val="00890700"/>
    <w:rsid w:val="008908BA"/>
    <w:rsid w:val="0089116B"/>
    <w:rsid w:val="008921FD"/>
    <w:rsid w:val="00893C85"/>
    <w:rsid w:val="008961C6"/>
    <w:rsid w:val="0089662B"/>
    <w:rsid w:val="00896C3A"/>
    <w:rsid w:val="008A5BD0"/>
    <w:rsid w:val="008A7378"/>
    <w:rsid w:val="008B0CFF"/>
    <w:rsid w:val="008B37AD"/>
    <w:rsid w:val="008B4379"/>
    <w:rsid w:val="008B481A"/>
    <w:rsid w:val="008B658C"/>
    <w:rsid w:val="008B716F"/>
    <w:rsid w:val="008C0CEA"/>
    <w:rsid w:val="008C27BF"/>
    <w:rsid w:val="008C2BEA"/>
    <w:rsid w:val="008C34B5"/>
    <w:rsid w:val="008C4C90"/>
    <w:rsid w:val="008C6791"/>
    <w:rsid w:val="008D0DB1"/>
    <w:rsid w:val="008D1660"/>
    <w:rsid w:val="008D1E83"/>
    <w:rsid w:val="008D2644"/>
    <w:rsid w:val="008D2FAD"/>
    <w:rsid w:val="008D36D8"/>
    <w:rsid w:val="008D6099"/>
    <w:rsid w:val="008D6D0D"/>
    <w:rsid w:val="008D72D6"/>
    <w:rsid w:val="008E28B6"/>
    <w:rsid w:val="008E2EDC"/>
    <w:rsid w:val="008E42A2"/>
    <w:rsid w:val="008F0506"/>
    <w:rsid w:val="008F1417"/>
    <w:rsid w:val="008F41E3"/>
    <w:rsid w:val="008F50A5"/>
    <w:rsid w:val="008F633F"/>
    <w:rsid w:val="00900835"/>
    <w:rsid w:val="00901123"/>
    <w:rsid w:val="00901367"/>
    <w:rsid w:val="00901623"/>
    <w:rsid w:val="00911143"/>
    <w:rsid w:val="00911534"/>
    <w:rsid w:val="009116B7"/>
    <w:rsid w:val="009148A7"/>
    <w:rsid w:val="00915D71"/>
    <w:rsid w:val="00916123"/>
    <w:rsid w:val="00916AB4"/>
    <w:rsid w:val="00916DCC"/>
    <w:rsid w:val="009209B0"/>
    <w:rsid w:val="00923477"/>
    <w:rsid w:val="0092570C"/>
    <w:rsid w:val="00925BF6"/>
    <w:rsid w:val="0092625C"/>
    <w:rsid w:val="00926742"/>
    <w:rsid w:val="00926BE6"/>
    <w:rsid w:val="00926E6A"/>
    <w:rsid w:val="00927740"/>
    <w:rsid w:val="00927D1F"/>
    <w:rsid w:val="0093132E"/>
    <w:rsid w:val="00931D11"/>
    <w:rsid w:val="00931E20"/>
    <w:rsid w:val="009320A6"/>
    <w:rsid w:val="00932814"/>
    <w:rsid w:val="00933A17"/>
    <w:rsid w:val="009340EA"/>
    <w:rsid w:val="009349B5"/>
    <w:rsid w:val="009375A6"/>
    <w:rsid w:val="00940374"/>
    <w:rsid w:val="009407F4"/>
    <w:rsid w:val="00943973"/>
    <w:rsid w:val="00947494"/>
    <w:rsid w:val="00952B9E"/>
    <w:rsid w:val="009532D3"/>
    <w:rsid w:val="00953A33"/>
    <w:rsid w:val="00954ACF"/>
    <w:rsid w:val="0095699F"/>
    <w:rsid w:val="009571B3"/>
    <w:rsid w:val="00960098"/>
    <w:rsid w:val="009613E5"/>
    <w:rsid w:val="00961A8E"/>
    <w:rsid w:val="00966879"/>
    <w:rsid w:val="00967984"/>
    <w:rsid w:val="00967E46"/>
    <w:rsid w:val="00974625"/>
    <w:rsid w:val="0097590E"/>
    <w:rsid w:val="00980506"/>
    <w:rsid w:val="00981F19"/>
    <w:rsid w:val="0098366A"/>
    <w:rsid w:val="00983FD5"/>
    <w:rsid w:val="0098417F"/>
    <w:rsid w:val="0098439D"/>
    <w:rsid w:val="009843C7"/>
    <w:rsid w:val="00986205"/>
    <w:rsid w:val="00990003"/>
    <w:rsid w:val="0099015F"/>
    <w:rsid w:val="00990EAD"/>
    <w:rsid w:val="009912F5"/>
    <w:rsid w:val="009913E7"/>
    <w:rsid w:val="00992DA9"/>
    <w:rsid w:val="0099398D"/>
    <w:rsid w:val="00993EE5"/>
    <w:rsid w:val="00996793"/>
    <w:rsid w:val="0099681A"/>
    <w:rsid w:val="00996DBE"/>
    <w:rsid w:val="00997BA9"/>
    <w:rsid w:val="009A056B"/>
    <w:rsid w:val="009A1DB7"/>
    <w:rsid w:val="009A2404"/>
    <w:rsid w:val="009B0586"/>
    <w:rsid w:val="009B20CB"/>
    <w:rsid w:val="009B619A"/>
    <w:rsid w:val="009B7200"/>
    <w:rsid w:val="009B7CD6"/>
    <w:rsid w:val="009C1788"/>
    <w:rsid w:val="009C189B"/>
    <w:rsid w:val="009C2C3F"/>
    <w:rsid w:val="009C40F3"/>
    <w:rsid w:val="009C4F15"/>
    <w:rsid w:val="009C5A3C"/>
    <w:rsid w:val="009C616A"/>
    <w:rsid w:val="009C68AF"/>
    <w:rsid w:val="009C78C2"/>
    <w:rsid w:val="009D047E"/>
    <w:rsid w:val="009D149F"/>
    <w:rsid w:val="009D1BE5"/>
    <w:rsid w:val="009D22B3"/>
    <w:rsid w:val="009E0FA4"/>
    <w:rsid w:val="009E10D3"/>
    <w:rsid w:val="009E14E2"/>
    <w:rsid w:val="009E1D2C"/>
    <w:rsid w:val="009E2223"/>
    <w:rsid w:val="009E4776"/>
    <w:rsid w:val="009E4CBA"/>
    <w:rsid w:val="009E78F3"/>
    <w:rsid w:val="009F4046"/>
    <w:rsid w:val="009F5A12"/>
    <w:rsid w:val="009F5AFE"/>
    <w:rsid w:val="00A001A7"/>
    <w:rsid w:val="00A00C4D"/>
    <w:rsid w:val="00A02995"/>
    <w:rsid w:val="00A036DC"/>
    <w:rsid w:val="00A04804"/>
    <w:rsid w:val="00A05ADE"/>
    <w:rsid w:val="00A0693C"/>
    <w:rsid w:val="00A06F8A"/>
    <w:rsid w:val="00A10D49"/>
    <w:rsid w:val="00A14B59"/>
    <w:rsid w:val="00A14DC1"/>
    <w:rsid w:val="00A16140"/>
    <w:rsid w:val="00A20048"/>
    <w:rsid w:val="00A20506"/>
    <w:rsid w:val="00A22BC6"/>
    <w:rsid w:val="00A24050"/>
    <w:rsid w:val="00A2439F"/>
    <w:rsid w:val="00A26617"/>
    <w:rsid w:val="00A2683F"/>
    <w:rsid w:val="00A26989"/>
    <w:rsid w:val="00A30200"/>
    <w:rsid w:val="00A310B7"/>
    <w:rsid w:val="00A33152"/>
    <w:rsid w:val="00A36004"/>
    <w:rsid w:val="00A36715"/>
    <w:rsid w:val="00A36BCE"/>
    <w:rsid w:val="00A41D24"/>
    <w:rsid w:val="00A41E12"/>
    <w:rsid w:val="00A42192"/>
    <w:rsid w:val="00A431E1"/>
    <w:rsid w:val="00A44B55"/>
    <w:rsid w:val="00A44D05"/>
    <w:rsid w:val="00A47614"/>
    <w:rsid w:val="00A477DE"/>
    <w:rsid w:val="00A5134F"/>
    <w:rsid w:val="00A520C4"/>
    <w:rsid w:val="00A53B1B"/>
    <w:rsid w:val="00A556FA"/>
    <w:rsid w:val="00A56416"/>
    <w:rsid w:val="00A57079"/>
    <w:rsid w:val="00A602A4"/>
    <w:rsid w:val="00A62E9C"/>
    <w:rsid w:val="00A63E0B"/>
    <w:rsid w:val="00A640BB"/>
    <w:rsid w:val="00A655FE"/>
    <w:rsid w:val="00A67A0B"/>
    <w:rsid w:val="00A7170B"/>
    <w:rsid w:val="00A72708"/>
    <w:rsid w:val="00A73F56"/>
    <w:rsid w:val="00A75ED9"/>
    <w:rsid w:val="00A80086"/>
    <w:rsid w:val="00A8376B"/>
    <w:rsid w:val="00A84D5C"/>
    <w:rsid w:val="00A85003"/>
    <w:rsid w:val="00A85234"/>
    <w:rsid w:val="00A909BB"/>
    <w:rsid w:val="00A9209D"/>
    <w:rsid w:val="00A92760"/>
    <w:rsid w:val="00A92768"/>
    <w:rsid w:val="00A938B3"/>
    <w:rsid w:val="00A939C3"/>
    <w:rsid w:val="00A94EED"/>
    <w:rsid w:val="00AA2874"/>
    <w:rsid w:val="00AA29BA"/>
    <w:rsid w:val="00AA29DD"/>
    <w:rsid w:val="00AA2A56"/>
    <w:rsid w:val="00AA5488"/>
    <w:rsid w:val="00AA7678"/>
    <w:rsid w:val="00AA7EFE"/>
    <w:rsid w:val="00AB19FD"/>
    <w:rsid w:val="00AB2EB9"/>
    <w:rsid w:val="00AB3637"/>
    <w:rsid w:val="00AB4158"/>
    <w:rsid w:val="00AB53D6"/>
    <w:rsid w:val="00AC1D08"/>
    <w:rsid w:val="00AC1EEA"/>
    <w:rsid w:val="00AC342B"/>
    <w:rsid w:val="00AC39EB"/>
    <w:rsid w:val="00AC4469"/>
    <w:rsid w:val="00AC4B84"/>
    <w:rsid w:val="00AC60CA"/>
    <w:rsid w:val="00AC6D54"/>
    <w:rsid w:val="00AD1C89"/>
    <w:rsid w:val="00AD26AF"/>
    <w:rsid w:val="00AD2809"/>
    <w:rsid w:val="00AD2FEA"/>
    <w:rsid w:val="00AD40A9"/>
    <w:rsid w:val="00AD50DB"/>
    <w:rsid w:val="00AD6742"/>
    <w:rsid w:val="00AD7607"/>
    <w:rsid w:val="00AE0B53"/>
    <w:rsid w:val="00AE0F27"/>
    <w:rsid w:val="00AE2406"/>
    <w:rsid w:val="00AE3386"/>
    <w:rsid w:val="00AF1871"/>
    <w:rsid w:val="00AF20FF"/>
    <w:rsid w:val="00AF3285"/>
    <w:rsid w:val="00AF583D"/>
    <w:rsid w:val="00AF6928"/>
    <w:rsid w:val="00B02707"/>
    <w:rsid w:val="00B034C2"/>
    <w:rsid w:val="00B039BC"/>
    <w:rsid w:val="00B0447B"/>
    <w:rsid w:val="00B04B1E"/>
    <w:rsid w:val="00B05526"/>
    <w:rsid w:val="00B06A27"/>
    <w:rsid w:val="00B10362"/>
    <w:rsid w:val="00B117F3"/>
    <w:rsid w:val="00B129C4"/>
    <w:rsid w:val="00B15718"/>
    <w:rsid w:val="00B15A6C"/>
    <w:rsid w:val="00B16721"/>
    <w:rsid w:val="00B1786A"/>
    <w:rsid w:val="00B21766"/>
    <w:rsid w:val="00B21AA5"/>
    <w:rsid w:val="00B220D4"/>
    <w:rsid w:val="00B22138"/>
    <w:rsid w:val="00B2270D"/>
    <w:rsid w:val="00B23B85"/>
    <w:rsid w:val="00B24424"/>
    <w:rsid w:val="00B27320"/>
    <w:rsid w:val="00B27BF0"/>
    <w:rsid w:val="00B30855"/>
    <w:rsid w:val="00B3306F"/>
    <w:rsid w:val="00B331DE"/>
    <w:rsid w:val="00B349F5"/>
    <w:rsid w:val="00B34D3C"/>
    <w:rsid w:val="00B36AB9"/>
    <w:rsid w:val="00B402C0"/>
    <w:rsid w:val="00B40CCA"/>
    <w:rsid w:val="00B40D75"/>
    <w:rsid w:val="00B416B0"/>
    <w:rsid w:val="00B41C06"/>
    <w:rsid w:val="00B41ED1"/>
    <w:rsid w:val="00B42C52"/>
    <w:rsid w:val="00B42F41"/>
    <w:rsid w:val="00B431F0"/>
    <w:rsid w:val="00B44F19"/>
    <w:rsid w:val="00B46924"/>
    <w:rsid w:val="00B473B6"/>
    <w:rsid w:val="00B47EC6"/>
    <w:rsid w:val="00B507CF"/>
    <w:rsid w:val="00B50813"/>
    <w:rsid w:val="00B51D87"/>
    <w:rsid w:val="00B55964"/>
    <w:rsid w:val="00B5722D"/>
    <w:rsid w:val="00B5759D"/>
    <w:rsid w:val="00B579EC"/>
    <w:rsid w:val="00B602B4"/>
    <w:rsid w:val="00B610FE"/>
    <w:rsid w:val="00B61708"/>
    <w:rsid w:val="00B6230B"/>
    <w:rsid w:val="00B6316B"/>
    <w:rsid w:val="00B6433C"/>
    <w:rsid w:val="00B654EA"/>
    <w:rsid w:val="00B669F2"/>
    <w:rsid w:val="00B67B3E"/>
    <w:rsid w:val="00B703D5"/>
    <w:rsid w:val="00B70B72"/>
    <w:rsid w:val="00B72C84"/>
    <w:rsid w:val="00B7312C"/>
    <w:rsid w:val="00B73E68"/>
    <w:rsid w:val="00B76155"/>
    <w:rsid w:val="00B762EC"/>
    <w:rsid w:val="00B80D3F"/>
    <w:rsid w:val="00B8140E"/>
    <w:rsid w:val="00B815F3"/>
    <w:rsid w:val="00B82338"/>
    <w:rsid w:val="00B84713"/>
    <w:rsid w:val="00B850A0"/>
    <w:rsid w:val="00B86F1A"/>
    <w:rsid w:val="00B879B7"/>
    <w:rsid w:val="00B90FDC"/>
    <w:rsid w:val="00B91020"/>
    <w:rsid w:val="00B91AEC"/>
    <w:rsid w:val="00B94444"/>
    <w:rsid w:val="00B96451"/>
    <w:rsid w:val="00B97D75"/>
    <w:rsid w:val="00BA011A"/>
    <w:rsid w:val="00BA148D"/>
    <w:rsid w:val="00BA552D"/>
    <w:rsid w:val="00BA6A88"/>
    <w:rsid w:val="00BA74F0"/>
    <w:rsid w:val="00BB0510"/>
    <w:rsid w:val="00BB1C0D"/>
    <w:rsid w:val="00BB352C"/>
    <w:rsid w:val="00BB4E3A"/>
    <w:rsid w:val="00BB7314"/>
    <w:rsid w:val="00BC0971"/>
    <w:rsid w:val="00BC157C"/>
    <w:rsid w:val="00BC1BA7"/>
    <w:rsid w:val="00BC29BC"/>
    <w:rsid w:val="00BC3993"/>
    <w:rsid w:val="00BC458A"/>
    <w:rsid w:val="00BC5156"/>
    <w:rsid w:val="00BC6740"/>
    <w:rsid w:val="00BD0A59"/>
    <w:rsid w:val="00BD0A8C"/>
    <w:rsid w:val="00BD0FD9"/>
    <w:rsid w:val="00BD18A0"/>
    <w:rsid w:val="00BD2AD0"/>
    <w:rsid w:val="00BD377B"/>
    <w:rsid w:val="00BD476C"/>
    <w:rsid w:val="00BD4806"/>
    <w:rsid w:val="00BD5134"/>
    <w:rsid w:val="00BD51AA"/>
    <w:rsid w:val="00BD589A"/>
    <w:rsid w:val="00BD5950"/>
    <w:rsid w:val="00BD59E8"/>
    <w:rsid w:val="00BD5EE6"/>
    <w:rsid w:val="00BD63A0"/>
    <w:rsid w:val="00BE0E4D"/>
    <w:rsid w:val="00BE2A89"/>
    <w:rsid w:val="00BE30E0"/>
    <w:rsid w:val="00BE60F7"/>
    <w:rsid w:val="00BE63E8"/>
    <w:rsid w:val="00BF0942"/>
    <w:rsid w:val="00BF0BC9"/>
    <w:rsid w:val="00BF0ED8"/>
    <w:rsid w:val="00BF1237"/>
    <w:rsid w:val="00BF3592"/>
    <w:rsid w:val="00BF4075"/>
    <w:rsid w:val="00BF77F1"/>
    <w:rsid w:val="00C00F75"/>
    <w:rsid w:val="00C0215C"/>
    <w:rsid w:val="00C026BC"/>
    <w:rsid w:val="00C04695"/>
    <w:rsid w:val="00C13179"/>
    <w:rsid w:val="00C13274"/>
    <w:rsid w:val="00C15240"/>
    <w:rsid w:val="00C2043B"/>
    <w:rsid w:val="00C20CCB"/>
    <w:rsid w:val="00C228A3"/>
    <w:rsid w:val="00C25BA7"/>
    <w:rsid w:val="00C26E41"/>
    <w:rsid w:val="00C27F24"/>
    <w:rsid w:val="00C339F3"/>
    <w:rsid w:val="00C35A04"/>
    <w:rsid w:val="00C36E34"/>
    <w:rsid w:val="00C41400"/>
    <w:rsid w:val="00C415CC"/>
    <w:rsid w:val="00C43089"/>
    <w:rsid w:val="00C44601"/>
    <w:rsid w:val="00C471E8"/>
    <w:rsid w:val="00C471F7"/>
    <w:rsid w:val="00C50CB8"/>
    <w:rsid w:val="00C518C5"/>
    <w:rsid w:val="00C5332D"/>
    <w:rsid w:val="00C53B33"/>
    <w:rsid w:val="00C53F2F"/>
    <w:rsid w:val="00C545F3"/>
    <w:rsid w:val="00C54A73"/>
    <w:rsid w:val="00C5637F"/>
    <w:rsid w:val="00C608D1"/>
    <w:rsid w:val="00C61FB2"/>
    <w:rsid w:val="00C6235B"/>
    <w:rsid w:val="00C65CA3"/>
    <w:rsid w:val="00C67B04"/>
    <w:rsid w:val="00C67D7E"/>
    <w:rsid w:val="00C70550"/>
    <w:rsid w:val="00C72C0B"/>
    <w:rsid w:val="00C83E4D"/>
    <w:rsid w:val="00C84B47"/>
    <w:rsid w:val="00C84BE5"/>
    <w:rsid w:val="00C84C0D"/>
    <w:rsid w:val="00C86FBC"/>
    <w:rsid w:val="00C94237"/>
    <w:rsid w:val="00C94A3F"/>
    <w:rsid w:val="00CA0D1D"/>
    <w:rsid w:val="00CA1065"/>
    <w:rsid w:val="00CA3BC7"/>
    <w:rsid w:val="00CA5057"/>
    <w:rsid w:val="00CA5A53"/>
    <w:rsid w:val="00CA5D11"/>
    <w:rsid w:val="00CB0654"/>
    <w:rsid w:val="00CB6363"/>
    <w:rsid w:val="00CB686A"/>
    <w:rsid w:val="00CB7C6D"/>
    <w:rsid w:val="00CC11AF"/>
    <w:rsid w:val="00CC41F0"/>
    <w:rsid w:val="00CC5D9B"/>
    <w:rsid w:val="00CC688F"/>
    <w:rsid w:val="00CD2170"/>
    <w:rsid w:val="00CD2E58"/>
    <w:rsid w:val="00CD431C"/>
    <w:rsid w:val="00CD4C2F"/>
    <w:rsid w:val="00CE097C"/>
    <w:rsid w:val="00CE22D8"/>
    <w:rsid w:val="00CE269A"/>
    <w:rsid w:val="00CE3094"/>
    <w:rsid w:val="00CE38A3"/>
    <w:rsid w:val="00CE7601"/>
    <w:rsid w:val="00CE7E8B"/>
    <w:rsid w:val="00CF0152"/>
    <w:rsid w:val="00CF10B3"/>
    <w:rsid w:val="00CF2AC7"/>
    <w:rsid w:val="00CF3559"/>
    <w:rsid w:val="00CF7834"/>
    <w:rsid w:val="00D017DF"/>
    <w:rsid w:val="00D026F0"/>
    <w:rsid w:val="00D029C3"/>
    <w:rsid w:val="00D05533"/>
    <w:rsid w:val="00D0699A"/>
    <w:rsid w:val="00D07164"/>
    <w:rsid w:val="00D074A2"/>
    <w:rsid w:val="00D131AA"/>
    <w:rsid w:val="00D1772E"/>
    <w:rsid w:val="00D21850"/>
    <w:rsid w:val="00D224D1"/>
    <w:rsid w:val="00D22F10"/>
    <w:rsid w:val="00D23462"/>
    <w:rsid w:val="00D27892"/>
    <w:rsid w:val="00D2795A"/>
    <w:rsid w:val="00D27F32"/>
    <w:rsid w:val="00D30C29"/>
    <w:rsid w:val="00D3135D"/>
    <w:rsid w:val="00D31DBF"/>
    <w:rsid w:val="00D34478"/>
    <w:rsid w:val="00D354A5"/>
    <w:rsid w:val="00D35638"/>
    <w:rsid w:val="00D35C1C"/>
    <w:rsid w:val="00D408F2"/>
    <w:rsid w:val="00D430A4"/>
    <w:rsid w:val="00D44818"/>
    <w:rsid w:val="00D44916"/>
    <w:rsid w:val="00D44D38"/>
    <w:rsid w:val="00D44E12"/>
    <w:rsid w:val="00D4523C"/>
    <w:rsid w:val="00D453A5"/>
    <w:rsid w:val="00D462D8"/>
    <w:rsid w:val="00D46561"/>
    <w:rsid w:val="00D466CD"/>
    <w:rsid w:val="00D46994"/>
    <w:rsid w:val="00D505BD"/>
    <w:rsid w:val="00D50FBA"/>
    <w:rsid w:val="00D511F1"/>
    <w:rsid w:val="00D51D60"/>
    <w:rsid w:val="00D5472E"/>
    <w:rsid w:val="00D558BC"/>
    <w:rsid w:val="00D576ED"/>
    <w:rsid w:val="00D6172B"/>
    <w:rsid w:val="00D61867"/>
    <w:rsid w:val="00D6348B"/>
    <w:rsid w:val="00D65113"/>
    <w:rsid w:val="00D679C5"/>
    <w:rsid w:val="00D67F62"/>
    <w:rsid w:val="00D71276"/>
    <w:rsid w:val="00D72AFD"/>
    <w:rsid w:val="00D7337B"/>
    <w:rsid w:val="00D73D74"/>
    <w:rsid w:val="00D77694"/>
    <w:rsid w:val="00D813AB"/>
    <w:rsid w:val="00D84B5C"/>
    <w:rsid w:val="00D903AE"/>
    <w:rsid w:val="00D909D9"/>
    <w:rsid w:val="00D931F7"/>
    <w:rsid w:val="00D9352B"/>
    <w:rsid w:val="00D9384D"/>
    <w:rsid w:val="00D96527"/>
    <w:rsid w:val="00DA15E4"/>
    <w:rsid w:val="00DA1F6D"/>
    <w:rsid w:val="00DA2B35"/>
    <w:rsid w:val="00DA318D"/>
    <w:rsid w:val="00DA43BC"/>
    <w:rsid w:val="00DA554F"/>
    <w:rsid w:val="00DA70F7"/>
    <w:rsid w:val="00DB0060"/>
    <w:rsid w:val="00DB04E2"/>
    <w:rsid w:val="00DB2F79"/>
    <w:rsid w:val="00DB5157"/>
    <w:rsid w:val="00DB5D2C"/>
    <w:rsid w:val="00DB69D0"/>
    <w:rsid w:val="00DC50B4"/>
    <w:rsid w:val="00DC51D1"/>
    <w:rsid w:val="00DC54E9"/>
    <w:rsid w:val="00DC58BF"/>
    <w:rsid w:val="00DC5D67"/>
    <w:rsid w:val="00DD020F"/>
    <w:rsid w:val="00DD1344"/>
    <w:rsid w:val="00DD3402"/>
    <w:rsid w:val="00DD4D2F"/>
    <w:rsid w:val="00DD6E54"/>
    <w:rsid w:val="00DD6EA0"/>
    <w:rsid w:val="00DD71C4"/>
    <w:rsid w:val="00DE03BF"/>
    <w:rsid w:val="00DE1147"/>
    <w:rsid w:val="00DE1280"/>
    <w:rsid w:val="00DE1EC7"/>
    <w:rsid w:val="00DE2D41"/>
    <w:rsid w:val="00DE6232"/>
    <w:rsid w:val="00DE69A9"/>
    <w:rsid w:val="00DE7690"/>
    <w:rsid w:val="00DF35D2"/>
    <w:rsid w:val="00DF734D"/>
    <w:rsid w:val="00E0078F"/>
    <w:rsid w:val="00E050A2"/>
    <w:rsid w:val="00E05E38"/>
    <w:rsid w:val="00E068A6"/>
    <w:rsid w:val="00E1025F"/>
    <w:rsid w:val="00E1134A"/>
    <w:rsid w:val="00E13DC2"/>
    <w:rsid w:val="00E14C1B"/>
    <w:rsid w:val="00E15688"/>
    <w:rsid w:val="00E171DB"/>
    <w:rsid w:val="00E1746F"/>
    <w:rsid w:val="00E176E1"/>
    <w:rsid w:val="00E200A6"/>
    <w:rsid w:val="00E21A26"/>
    <w:rsid w:val="00E232B7"/>
    <w:rsid w:val="00E247B4"/>
    <w:rsid w:val="00E2590A"/>
    <w:rsid w:val="00E26E2D"/>
    <w:rsid w:val="00E30058"/>
    <w:rsid w:val="00E3080B"/>
    <w:rsid w:val="00E31915"/>
    <w:rsid w:val="00E3400A"/>
    <w:rsid w:val="00E34CBC"/>
    <w:rsid w:val="00E35BAB"/>
    <w:rsid w:val="00E40369"/>
    <w:rsid w:val="00E41A29"/>
    <w:rsid w:val="00E41BC7"/>
    <w:rsid w:val="00E44072"/>
    <w:rsid w:val="00E44384"/>
    <w:rsid w:val="00E44562"/>
    <w:rsid w:val="00E4597D"/>
    <w:rsid w:val="00E45FE0"/>
    <w:rsid w:val="00E5116C"/>
    <w:rsid w:val="00E5183B"/>
    <w:rsid w:val="00E531B4"/>
    <w:rsid w:val="00E54546"/>
    <w:rsid w:val="00E54905"/>
    <w:rsid w:val="00E55F71"/>
    <w:rsid w:val="00E5625D"/>
    <w:rsid w:val="00E56F8A"/>
    <w:rsid w:val="00E57826"/>
    <w:rsid w:val="00E61677"/>
    <w:rsid w:val="00E61BA8"/>
    <w:rsid w:val="00E63A42"/>
    <w:rsid w:val="00E63D41"/>
    <w:rsid w:val="00E64C87"/>
    <w:rsid w:val="00E6545F"/>
    <w:rsid w:val="00E71BC0"/>
    <w:rsid w:val="00E71CA4"/>
    <w:rsid w:val="00E72694"/>
    <w:rsid w:val="00E72E46"/>
    <w:rsid w:val="00E730ED"/>
    <w:rsid w:val="00E75B67"/>
    <w:rsid w:val="00E763D3"/>
    <w:rsid w:val="00E770AB"/>
    <w:rsid w:val="00E8213D"/>
    <w:rsid w:val="00E85A40"/>
    <w:rsid w:val="00E8620B"/>
    <w:rsid w:val="00E9059F"/>
    <w:rsid w:val="00E9111F"/>
    <w:rsid w:val="00E9163C"/>
    <w:rsid w:val="00E92034"/>
    <w:rsid w:val="00E922EE"/>
    <w:rsid w:val="00E92893"/>
    <w:rsid w:val="00E96B24"/>
    <w:rsid w:val="00EA0984"/>
    <w:rsid w:val="00EA0E45"/>
    <w:rsid w:val="00EA1403"/>
    <w:rsid w:val="00EA2D8B"/>
    <w:rsid w:val="00EA3FCA"/>
    <w:rsid w:val="00EA6E00"/>
    <w:rsid w:val="00EA7D32"/>
    <w:rsid w:val="00EB108D"/>
    <w:rsid w:val="00EB454A"/>
    <w:rsid w:val="00EB4986"/>
    <w:rsid w:val="00EB4B32"/>
    <w:rsid w:val="00EB52BF"/>
    <w:rsid w:val="00EB5AE2"/>
    <w:rsid w:val="00EB7355"/>
    <w:rsid w:val="00EB7404"/>
    <w:rsid w:val="00EC0D1C"/>
    <w:rsid w:val="00EC17CE"/>
    <w:rsid w:val="00EC4542"/>
    <w:rsid w:val="00EC5041"/>
    <w:rsid w:val="00EC610F"/>
    <w:rsid w:val="00EC7707"/>
    <w:rsid w:val="00EC7781"/>
    <w:rsid w:val="00ED0053"/>
    <w:rsid w:val="00ED1494"/>
    <w:rsid w:val="00ED1616"/>
    <w:rsid w:val="00ED2A74"/>
    <w:rsid w:val="00ED2CE5"/>
    <w:rsid w:val="00ED6EB2"/>
    <w:rsid w:val="00ED7896"/>
    <w:rsid w:val="00EE1832"/>
    <w:rsid w:val="00EE4C5B"/>
    <w:rsid w:val="00EE65D3"/>
    <w:rsid w:val="00EF0530"/>
    <w:rsid w:val="00EF267F"/>
    <w:rsid w:val="00EF292B"/>
    <w:rsid w:val="00EF3109"/>
    <w:rsid w:val="00EF35B5"/>
    <w:rsid w:val="00EF3913"/>
    <w:rsid w:val="00EF70C7"/>
    <w:rsid w:val="00EF7803"/>
    <w:rsid w:val="00F02781"/>
    <w:rsid w:val="00F02E3C"/>
    <w:rsid w:val="00F03D69"/>
    <w:rsid w:val="00F067F9"/>
    <w:rsid w:val="00F076A7"/>
    <w:rsid w:val="00F108DB"/>
    <w:rsid w:val="00F1312B"/>
    <w:rsid w:val="00F134E0"/>
    <w:rsid w:val="00F14C3D"/>
    <w:rsid w:val="00F14D00"/>
    <w:rsid w:val="00F15C7A"/>
    <w:rsid w:val="00F1685C"/>
    <w:rsid w:val="00F201DE"/>
    <w:rsid w:val="00F21849"/>
    <w:rsid w:val="00F21A60"/>
    <w:rsid w:val="00F224CC"/>
    <w:rsid w:val="00F23E40"/>
    <w:rsid w:val="00F26611"/>
    <w:rsid w:val="00F273D2"/>
    <w:rsid w:val="00F2752B"/>
    <w:rsid w:val="00F30789"/>
    <w:rsid w:val="00F33368"/>
    <w:rsid w:val="00F33E58"/>
    <w:rsid w:val="00F353E5"/>
    <w:rsid w:val="00F40F93"/>
    <w:rsid w:val="00F43387"/>
    <w:rsid w:val="00F45704"/>
    <w:rsid w:val="00F46547"/>
    <w:rsid w:val="00F467FB"/>
    <w:rsid w:val="00F46F68"/>
    <w:rsid w:val="00F50636"/>
    <w:rsid w:val="00F5237C"/>
    <w:rsid w:val="00F52FF7"/>
    <w:rsid w:val="00F544DD"/>
    <w:rsid w:val="00F54AB4"/>
    <w:rsid w:val="00F55597"/>
    <w:rsid w:val="00F5670B"/>
    <w:rsid w:val="00F60C32"/>
    <w:rsid w:val="00F62378"/>
    <w:rsid w:val="00F6312F"/>
    <w:rsid w:val="00F63218"/>
    <w:rsid w:val="00F643E1"/>
    <w:rsid w:val="00F65563"/>
    <w:rsid w:val="00F6616F"/>
    <w:rsid w:val="00F66366"/>
    <w:rsid w:val="00F66E3F"/>
    <w:rsid w:val="00F67D48"/>
    <w:rsid w:val="00F70CFF"/>
    <w:rsid w:val="00F71938"/>
    <w:rsid w:val="00F7239E"/>
    <w:rsid w:val="00F73A7B"/>
    <w:rsid w:val="00F73ED4"/>
    <w:rsid w:val="00F745BE"/>
    <w:rsid w:val="00F749FC"/>
    <w:rsid w:val="00F8115F"/>
    <w:rsid w:val="00F8280B"/>
    <w:rsid w:val="00F84AEC"/>
    <w:rsid w:val="00F84E04"/>
    <w:rsid w:val="00F864AD"/>
    <w:rsid w:val="00F864C6"/>
    <w:rsid w:val="00F879EB"/>
    <w:rsid w:val="00F91CD0"/>
    <w:rsid w:val="00F93E75"/>
    <w:rsid w:val="00F946B3"/>
    <w:rsid w:val="00F95AC3"/>
    <w:rsid w:val="00F96252"/>
    <w:rsid w:val="00F97775"/>
    <w:rsid w:val="00F97B75"/>
    <w:rsid w:val="00FA0F63"/>
    <w:rsid w:val="00FA115A"/>
    <w:rsid w:val="00FA2704"/>
    <w:rsid w:val="00FA4087"/>
    <w:rsid w:val="00FA6928"/>
    <w:rsid w:val="00FA7853"/>
    <w:rsid w:val="00FA79BE"/>
    <w:rsid w:val="00FB1B1D"/>
    <w:rsid w:val="00FB2C3B"/>
    <w:rsid w:val="00FB3260"/>
    <w:rsid w:val="00FB374C"/>
    <w:rsid w:val="00FB7964"/>
    <w:rsid w:val="00FC058B"/>
    <w:rsid w:val="00FC19EA"/>
    <w:rsid w:val="00FC1CCB"/>
    <w:rsid w:val="00FD0B20"/>
    <w:rsid w:val="00FD1508"/>
    <w:rsid w:val="00FD1DCD"/>
    <w:rsid w:val="00FD24B3"/>
    <w:rsid w:val="00FD2C99"/>
    <w:rsid w:val="00FD790A"/>
    <w:rsid w:val="00FD7917"/>
    <w:rsid w:val="00FE015A"/>
    <w:rsid w:val="00FE0FC3"/>
    <w:rsid w:val="00FE2047"/>
    <w:rsid w:val="00FE218C"/>
    <w:rsid w:val="00FE5977"/>
    <w:rsid w:val="00FE6E35"/>
    <w:rsid w:val="00FE7250"/>
    <w:rsid w:val="00FE73D1"/>
    <w:rsid w:val="00FF0409"/>
    <w:rsid w:val="00FF08E0"/>
    <w:rsid w:val="00FF0E46"/>
    <w:rsid w:val="00FF1533"/>
    <w:rsid w:val="00FF2541"/>
    <w:rsid w:val="00FF4276"/>
    <w:rsid w:val="00FF5537"/>
    <w:rsid w:val="00FF69A4"/>
    <w:rsid w:val="00FF6CB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7" type="connector" idref="#_x0000_s1353">
          <o:proxy start="" idref="#_x0000_s1300" connectloc="3"/>
          <o:proxy end="" idref="#_x0000_s1345" connectloc="1"/>
        </o:r>
        <o:r id="V:Rule38" type="connector" idref="#_x0000_s1369">
          <o:proxy start="" idref="#_x0000_s1297" connectloc="3"/>
          <o:proxy end="" idref="#_x0000_s1330" connectloc="1"/>
        </o:r>
        <o:r id="V:Rule39" type="connector" idref="#_x0000_s1319">
          <o:proxy start="" idref="#_x0000_s1278" connectloc="3"/>
          <o:proxy end="" idref="#_x0000_s1296" connectloc="1"/>
        </o:r>
        <o:r id="V:Rule40" type="connector" idref="#_x0000_s1363">
          <o:proxy start="" idref="#_x0000_s1295" connectloc="3"/>
          <o:proxy end="" idref="#_x0000_s1340" connectloc="1"/>
        </o:r>
        <o:r id="V:Rule41" type="connector" idref="#_x0000_s1313">
          <o:proxy start="" idref="#_x0000_s1280" connectloc="3"/>
          <o:proxy end="" idref="#_x0000_s1289" connectloc="1"/>
        </o:r>
        <o:r id="V:Rule42" type="connector" idref="#_x0000_s1365">
          <o:proxy start="" idref="#_x0000_s1292" connectloc="3"/>
          <o:proxy end="" idref="#_x0000_s1326" connectloc="1"/>
        </o:r>
        <o:r id="V:Rule43" type="connector" idref="#_x0000_s1358">
          <o:proxy start="" idref="#_x0000_s1299" connectloc="3"/>
          <o:proxy end="" idref="#_x0000_s1335" connectloc="1"/>
        </o:r>
        <o:r id="V:Rule44" type="connector" idref="#_x0000_s1349">
          <o:proxy start="" idref="#_x0000_s1289" connectloc="3"/>
          <o:proxy end="" idref="#_x0000_s1325" connectloc="1"/>
        </o:r>
        <o:r id="V:Rule45" type="connector" idref="#_x0000_s1366">
          <o:proxy start="" idref="#_x0000_s1292" connectloc="3"/>
          <o:proxy end="" idref="#_x0000_s1327" connectloc="1"/>
        </o:r>
        <o:r id="V:Rule46" type="connector" idref="#_x0000_s1315">
          <o:proxy start="" idref="#_x0000_s1280" connectloc="3"/>
          <o:proxy end="" idref="#_x0000_s1300" connectloc="1"/>
        </o:r>
        <o:r id="V:Rule47" type="connector" idref="#_x0000_s1370">
          <o:proxy start="" idref="#_x0000_s1297" connectloc="3"/>
          <o:proxy end="" idref="#_x0000_s1331" connectloc="1"/>
        </o:r>
        <o:r id="V:Rule48" type="connector" idref="#_x0000_s1372">
          <o:proxy start="" idref="#_x0000_s1291" connectloc="3"/>
          <o:proxy end="" idref="#_x0000_s1333" connectloc="1"/>
        </o:r>
        <o:r id="V:Rule49" type="connector" idref="#_x0000_s1359">
          <o:proxy start="" idref="#_x0000_s1293" connectloc="3"/>
          <o:proxy end="" idref="#_x0000_s1336" connectloc="1"/>
        </o:r>
        <o:r id="V:Rule50" type="connector" idref="#_x0000_s1314">
          <o:proxy start="" idref="#_x0000_s1280" connectloc="3"/>
          <o:proxy end="" idref="#_x0000_s1290" connectloc="1"/>
        </o:r>
        <o:r id="V:Rule51" type="connector" idref="#_x0000_s1352">
          <o:proxy start="" idref="#_x0000_s1290" connectloc="3"/>
          <o:proxy end="" idref="#_x0000_s1344" connectloc="1"/>
        </o:r>
        <o:r id="V:Rule52" type="connector" idref="#_x0000_s1320">
          <o:proxy start="" idref="#_x0000_s1278" connectloc="3"/>
          <o:proxy end="" idref="#_x0000_s1295" connectloc="1"/>
        </o:r>
        <o:r id="V:Rule53" type="connector" idref="#_x0000_s1316">
          <o:proxy start="" idref="#_x0000_s1283" connectloc="3"/>
          <o:proxy end="" idref="#_x0000_s1294" connectloc="1"/>
        </o:r>
        <o:r id="V:Rule54" type="connector" idref="#_x0000_s1356">
          <o:proxy start="" idref="#_x0000_s1294" connectloc="3"/>
          <o:proxy end="" idref="#_x0000_s1348" connectloc="1"/>
        </o:r>
        <o:r id="V:Rule55" type="connector" idref="#_x0000_s1322">
          <o:proxy start="" idref="#_x0000_s1287" connectloc="3"/>
          <o:proxy end="" idref="#_x0000_s1298" connectloc="1"/>
        </o:r>
        <o:r id="V:Rule56" type="connector" idref="#_x0000_s1364">
          <o:proxy start="" idref="#_x0000_s1295" connectloc="3"/>
          <o:proxy end="" idref="#_x0000_s1341" connectloc="1"/>
        </o:r>
        <o:r id="V:Rule57" type="connector" idref="#_x0000_s1361">
          <o:proxy start="" idref="#_x0000_s1296" connectloc="3"/>
          <o:proxy end="" idref="#_x0000_s1338" connectloc="1"/>
        </o:r>
        <o:r id="V:Rule58" type="connector" idref="#_x0000_s1321">
          <o:proxy start="" idref="#_x0000_s1278" connectloc="3"/>
          <o:proxy end="" idref="#_x0000_s1292" connectloc="1"/>
        </o:r>
        <o:r id="V:Rule59" type="connector" idref="#_x0000_s1362">
          <o:proxy start="" idref="#_x0000_s1296" connectloc="3"/>
          <o:proxy end="" idref="#_x0000_s1339" connectloc="1"/>
        </o:r>
        <o:r id="V:Rule60" type="connector" idref="#_x0000_s1351">
          <o:proxy start="" idref="#_x0000_s1290" connectloc="3"/>
          <o:proxy end="" idref="#_x0000_s1343" connectloc="1"/>
        </o:r>
        <o:r id="V:Rule61" type="connector" idref="#_x0000_s1360">
          <o:proxy start="" idref="#_x0000_s1293" connectloc="3"/>
          <o:proxy end="" idref="#_x0000_s1337" connectloc="1"/>
        </o:r>
        <o:r id="V:Rule62" type="connector" idref="#_x0000_s1323">
          <o:proxy start="" idref="#_x0000_s1287" connectloc="3"/>
          <o:proxy end="" idref="#_x0000_s1297" connectloc="1"/>
        </o:r>
        <o:r id="V:Rule63" type="connector" idref="#_x0000_s1355">
          <o:proxy start="" idref="#_x0000_s1294" connectloc="3"/>
          <o:proxy end="" idref="#_x0000_s1347" connectloc="1"/>
        </o:r>
        <o:r id="V:Rule64" type="connector" idref="#_x0000_s1368">
          <o:proxy start="" idref="#_x0000_s1298" connectloc="3"/>
          <o:proxy end="" idref="#_x0000_s1329" connectloc="1"/>
        </o:r>
        <o:r id="V:Rule65" type="connector" idref="#_x0000_s1371">
          <o:proxy start="" idref="#_x0000_s1291" connectloc="3"/>
          <o:proxy end="" idref="#_x0000_s1332" connectloc="1"/>
        </o:r>
        <o:r id="V:Rule66" type="connector" idref="#_x0000_s1350">
          <o:proxy start="" idref="#_x0000_s1289" connectloc="3"/>
          <o:proxy end="" idref="#_x0000_s1342" connectloc="1"/>
        </o:r>
        <o:r id="V:Rule67" type="connector" idref="#_x0000_s1318">
          <o:proxy start="" idref="#_x0000_s1283" connectloc="3"/>
          <o:proxy end="" idref="#_x0000_s1293" connectloc="1"/>
        </o:r>
        <o:r id="V:Rule68" type="connector" idref="#_x0000_s1357">
          <o:proxy start="" idref="#_x0000_s1299" connectloc="3"/>
          <o:proxy end="" idref="#_x0000_s1334" connectloc="1"/>
        </o:r>
        <o:r id="V:Rule69" type="connector" idref="#_x0000_s1317">
          <o:proxy start="" idref="#_x0000_s1283" connectloc="3"/>
          <o:proxy end="" idref="#_x0000_s1299" connectloc="1"/>
        </o:r>
        <o:r id="V:Rule70" type="connector" idref="#_x0000_s1324">
          <o:proxy start="" idref="#_x0000_s1287" connectloc="3"/>
          <o:proxy end="" idref="#_x0000_s1291" connectloc="1"/>
        </o:r>
        <o:r id="V:Rule71" type="connector" idref="#_x0000_s1354">
          <o:proxy start="" idref="#_x0000_s1300" connectloc="3"/>
          <o:proxy end="" idref="#_x0000_s1346" connectloc="1"/>
        </o:r>
        <o:r id="V:Rule72" type="connector" idref="#_x0000_s1367">
          <o:proxy start="" idref="#_x0000_s1298" connectloc="3"/>
          <o:proxy end="" idref="#_x0000_s1328"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0D7"/>
    <w:pPr>
      <w:spacing w:after="200" w:line="276" w:lineRule="auto"/>
    </w:pPr>
    <w:rPr>
      <w:sz w:val="22"/>
      <w:szCs w:val="22"/>
      <w:lang w:eastAsia="en-US"/>
    </w:rPr>
  </w:style>
  <w:style w:type="paragraph" w:styleId="Nadpis1">
    <w:name w:val="heading 1"/>
    <w:basedOn w:val="Normln"/>
    <w:next w:val="Normln"/>
    <w:qFormat/>
    <w:rsid w:val="00F91CD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44494"/>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861260"/>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05115F"/>
    <w:pPr>
      <w:keepNext/>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rsid w:val="0005115F"/>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uiPriority w:val="9"/>
    <w:semiHidden/>
    <w:unhideWhenUsed/>
    <w:qFormat/>
    <w:rsid w:val="0005115F"/>
    <w:pPr>
      <w:spacing w:before="240" w:after="60"/>
      <w:outlineLvl w:val="5"/>
    </w:pPr>
    <w:rPr>
      <w:rFonts w:asciiTheme="minorHAnsi" w:eastAsiaTheme="minorEastAsia" w:hAnsiTheme="minorHAnsi" w:cstheme="minorBidi"/>
      <w:b/>
      <w:bCs/>
    </w:rPr>
  </w:style>
  <w:style w:type="paragraph" w:styleId="Nadpis7">
    <w:name w:val="heading 7"/>
    <w:basedOn w:val="Normln"/>
    <w:next w:val="Normln"/>
    <w:link w:val="Nadpis7Char"/>
    <w:uiPriority w:val="9"/>
    <w:semiHidden/>
    <w:unhideWhenUsed/>
    <w:qFormat/>
    <w:rsid w:val="0005115F"/>
    <w:p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rsid w:val="0005115F"/>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rsid w:val="0005115F"/>
    <w:pPr>
      <w:spacing w:before="240" w:after="60"/>
      <w:outlineLvl w:val="8"/>
    </w:pPr>
    <w:rPr>
      <w:rFonts w:asciiTheme="majorHAnsi" w:eastAsiaTheme="majorEastAsia" w:hAnsiTheme="majorHAnsi"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D3E9E"/>
    <w:pPr>
      <w:tabs>
        <w:tab w:val="center" w:pos="4536"/>
        <w:tab w:val="right" w:pos="9072"/>
      </w:tabs>
    </w:pPr>
  </w:style>
  <w:style w:type="character" w:customStyle="1" w:styleId="ZhlavChar">
    <w:name w:val="Záhlaví Char"/>
    <w:basedOn w:val="Standardnpsmoodstavce"/>
    <w:link w:val="Zhlav"/>
    <w:uiPriority w:val="99"/>
    <w:semiHidden/>
    <w:rsid w:val="003D3E9E"/>
    <w:rPr>
      <w:sz w:val="22"/>
      <w:szCs w:val="22"/>
      <w:lang w:eastAsia="en-US"/>
    </w:rPr>
  </w:style>
  <w:style w:type="paragraph" w:styleId="Zpat">
    <w:name w:val="footer"/>
    <w:basedOn w:val="Normln"/>
    <w:link w:val="ZpatChar"/>
    <w:uiPriority w:val="99"/>
    <w:semiHidden/>
    <w:unhideWhenUsed/>
    <w:rsid w:val="003D3E9E"/>
    <w:pPr>
      <w:tabs>
        <w:tab w:val="center" w:pos="4536"/>
        <w:tab w:val="right" w:pos="9072"/>
      </w:tabs>
    </w:pPr>
  </w:style>
  <w:style w:type="character" w:customStyle="1" w:styleId="ZpatChar">
    <w:name w:val="Zápatí Char"/>
    <w:basedOn w:val="Standardnpsmoodstavce"/>
    <w:link w:val="Zpat"/>
    <w:uiPriority w:val="99"/>
    <w:semiHidden/>
    <w:rsid w:val="003D3E9E"/>
    <w:rPr>
      <w:sz w:val="22"/>
      <w:szCs w:val="22"/>
      <w:lang w:eastAsia="en-US"/>
    </w:rPr>
  </w:style>
  <w:style w:type="paragraph" w:customStyle="1" w:styleId="Label">
    <w:name w:val="Label"/>
    <w:basedOn w:val="Normln"/>
    <w:link w:val="LabelChar"/>
    <w:qFormat/>
    <w:rsid w:val="003D3E9E"/>
    <w:pPr>
      <w:tabs>
        <w:tab w:val="left" w:pos="2268"/>
      </w:tabs>
      <w:spacing w:before="40" w:after="60" w:line="360" w:lineRule="auto"/>
      <w:ind w:left="2268" w:hanging="2268"/>
      <w:jc w:val="both"/>
    </w:pPr>
    <w:rPr>
      <w:rFonts w:ascii="Verdana" w:eastAsia="Times New Roman" w:hAnsi="Verdana"/>
      <w:b/>
      <w:color w:val="663399"/>
      <w:sz w:val="18"/>
      <w:szCs w:val="18"/>
      <w:lang w:eastAsia="cs-CZ"/>
    </w:rPr>
  </w:style>
  <w:style w:type="character" w:customStyle="1" w:styleId="LabelChar">
    <w:name w:val="Label Char"/>
    <w:basedOn w:val="Standardnpsmoodstavce"/>
    <w:link w:val="Label"/>
    <w:locked/>
    <w:rsid w:val="003D3E9E"/>
    <w:rPr>
      <w:rFonts w:ascii="Verdana" w:eastAsia="Times New Roman" w:hAnsi="Verdana"/>
      <w:b/>
      <w:color w:val="663399"/>
      <w:sz w:val="18"/>
      <w:szCs w:val="18"/>
    </w:rPr>
  </w:style>
  <w:style w:type="character" w:customStyle="1" w:styleId="Nadpis3Char">
    <w:name w:val="Nadpis 3 Char"/>
    <w:basedOn w:val="Standardnpsmoodstavce"/>
    <w:link w:val="Nadpis3"/>
    <w:rsid w:val="00861260"/>
    <w:rPr>
      <w:rFonts w:ascii="Cambria" w:hAnsi="Cambria"/>
      <w:b/>
      <w:bCs/>
      <w:sz w:val="26"/>
      <w:szCs w:val="26"/>
      <w:lang w:val="cs-CZ" w:eastAsia="en-US" w:bidi="ar-SA"/>
    </w:rPr>
  </w:style>
  <w:style w:type="character" w:styleId="Hypertextovodkaz">
    <w:name w:val="Hyperlink"/>
    <w:basedOn w:val="Standardnpsmoodstavce"/>
    <w:uiPriority w:val="99"/>
    <w:unhideWhenUsed/>
    <w:rsid w:val="00861260"/>
    <w:rPr>
      <w:color w:val="0000FF"/>
      <w:u w:val="single"/>
    </w:rPr>
  </w:style>
  <w:style w:type="paragraph" w:styleId="Textpoznpodarou">
    <w:name w:val="footnote text"/>
    <w:aliases w:val="Schriftart: 9 pt,Schriftart: 10 pt,Schriftart: 8 pt"/>
    <w:basedOn w:val="Normln"/>
    <w:link w:val="TextpoznpodarouChar"/>
    <w:uiPriority w:val="99"/>
    <w:unhideWhenUsed/>
    <w:rsid w:val="00861260"/>
    <w:rPr>
      <w:sz w:val="20"/>
      <w:szCs w:val="20"/>
    </w:rPr>
  </w:style>
  <w:style w:type="character" w:styleId="Znakapoznpodarou">
    <w:name w:val="footnote reference"/>
    <w:basedOn w:val="Standardnpsmoodstavce"/>
    <w:uiPriority w:val="99"/>
    <w:unhideWhenUsed/>
    <w:rsid w:val="00861260"/>
    <w:rPr>
      <w:vertAlign w:val="superscript"/>
    </w:rPr>
  </w:style>
  <w:style w:type="character" w:customStyle="1" w:styleId="Nadpis2Char">
    <w:name w:val="Nadpis 2 Char"/>
    <w:basedOn w:val="Standardnpsmoodstavce"/>
    <w:link w:val="Nadpis2"/>
    <w:rsid w:val="00444494"/>
    <w:rPr>
      <w:rFonts w:ascii="Cambria" w:hAnsi="Cambria"/>
      <w:b/>
      <w:bCs/>
      <w:i/>
      <w:iCs/>
      <w:sz w:val="28"/>
      <w:szCs w:val="28"/>
      <w:lang w:val="cs-CZ" w:eastAsia="en-US" w:bidi="ar-SA"/>
    </w:rPr>
  </w:style>
  <w:style w:type="character" w:styleId="slostrnky">
    <w:name w:val="page number"/>
    <w:rsid w:val="006339A6"/>
    <w:rPr>
      <w:rFonts w:ascii="Verdana" w:hAnsi="Verdana"/>
      <w:sz w:val="16"/>
      <w:szCs w:val="16"/>
    </w:rPr>
  </w:style>
  <w:style w:type="paragraph" w:customStyle="1" w:styleId="Nadpis11">
    <w:name w:val="Nadpis 11"/>
    <w:basedOn w:val="Style1"/>
    <w:rsid w:val="009B0586"/>
    <w:rPr>
      <w:rFonts w:ascii="Verdana" w:hAnsi="Verdana"/>
      <w:b/>
      <w:bCs/>
    </w:rPr>
  </w:style>
  <w:style w:type="paragraph" w:customStyle="1" w:styleId="Style1">
    <w:name w:val="Style1"/>
    <w:basedOn w:val="Normln"/>
    <w:rsid w:val="009B0586"/>
    <w:pPr>
      <w:jc w:val="both"/>
    </w:pPr>
  </w:style>
  <w:style w:type="paragraph" w:customStyle="1" w:styleId="nadpis110">
    <w:name w:val="nadpis 1.1"/>
    <w:basedOn w:val="Normln"/>
    <w:rsid w:val="009B0586"/>
    <w:rPr>
      <w:rFonts w:ascii="Verdana" w:hAnsi="Verdana"/>
      <w:b/>
      <w:sz w:val="20"/>
      <w:szCs w:val="20"/>
      <w:u w:val="single"/>
    </w:rPr>
  </w:style>
  <w:style w:type="paragraph" w:customStyle="1" w:styleId="nadpis111">
    <w:name w:val="nadpis 1.1.1"/>
    <w:basedOn w:val="Normln"/>
    <w:rsid w:val="009B0586"/>
    <w:rPr>
      <w:rFonts w:ascii="Verdana" w:hAnsi="Verdana"/>
      <w:b/>
      <w:i/>
      <w:sz w:val="20"/>
      <w:szCs w:val="20"/>
      <w:u w:val="single"/>
    </w:rPr>
  </w:style>
  <w:style w:type="paragraph" w:styleId="Obsah1">
    <w:name w:val="toc 1"/>
    <w:basedOn w:val="Normln"/>
    <w:next w:val="Normln"/>
    <w:autoRedefine/>
    <w:uiPriority w:val="39"/>
    <w:rsid w:val="00F91CD0"/>
    <w:pPr>
      <w:tabs>
        <w:tab w:val="right" w:leader="dot" w:pos="9062"/>
      </w:tabs>
    </w:pPr>
    <w:rPr>
      <w:rFonts w:ascii="Verdana" w:hAnsi="Verdana"/>
      <w:b/>
      <w:noProof/>
    </w:rPr>
  </w:style>
  <w:style w:type="paragraph" w:styleId="Obsah3">
    <w:name w:val="toc 3"/>
    <w:basedOn w:val="Normln"/>
    <w:next w:val="Normln"/>
    <w:autoRedefine/>
    <w:uiPriority w:val="39"/>
    <w:rsid w:val="00F91CD0"/>
    <w:pPr>
      <w:ind w:left="440"/>
    </w:pPr>
  </w:style>
  <w:style w:type="paragraph" w:styleId="Obsah2">
    <w:name w:val="toc 2"/>
    <w:basedOn w:val="Normln"/>
    <w:next w:val="Normln"/>
    <w:autoRedefine/>
    <w:uiPriority w:val="39"/>
    <w:rsid w:val="00F91CD0"/>
    <w:pPr>
      <w:ind w:left="220"/>
    </w:pPr>
  </w:style>
  <w:style w:type="paragraph" w:styleId="Odstavecseseznamem">
    <w:name w:val="List Paragraph"/>
    <w:basedOn w:val="Normln"/>
    <w:uiPriority w:val="34"/>
    <w:qFormat/>
    <w:rsid w:val="008E28B6"/>
    <w:pPr>
      <w:spacing w:after="0" w:line="240" w:lineRule="auto"/>
      <w:ind w:left="720"/>
      <w:contextualSpacing/>
      <w:jc w:val="both"/>
    </w:pPr>
    <w:rPr>
      <w:rFonts w:ascii="Times New Roman" w:eastAsiaTheme="minorHAnsi" w:hAnsi="Times New Roman" w:cstheme="minorBidi"/>
      <w:sz w:val="24"/>
    </w:rPr>
  </w:style>
  <w:style w:type="table" w:styleId="Mkatabulky">
    <w:name w:val="Table Grid"/>
    <w:basedOn w:val="Normlntabulka"/>
    <w:uiPriority w:val="59"/>
    <w:rsid w:val="008E28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4A34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3408"/>
    <w:rPr>
      <w:rFonts w:ascii="Tahoma" w:hAnsi="Tahoma" w:cs="Tahoma"/>
      <w:sz w:val="16"/>
      <w:szCs w:val="16"/>
      <w:lang w:eastAsia="en-US"/>
    </w:rPr>
  </w:style>
  <w:style w:type="paragraph" w:styleId="Rozvrendokumentu">
    <w:name w:val="Document Map"/>
    <w:basedOn w:val="Normln"/>
    <w:link w:val="RozvrendokumentuChar"/>
    <w:uiPriority w:val="99"/>
    <w:semiHidden/>
    <w:unhideWhenUsed/>
    <w:rsid w:val="00A36004"/>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A36004"/>
    <w:rPr>
      <w:rFonts w:ascii="Tahoma" w:hAnsi="Tahoma" w:cs="Tahoma"/>
      <w:sz w:val="16"/>
      <w:szCs w:val="16"/>
      <w:lang w:eastAsia="en-US"/>
    </w:rPr>
  </w:style>
  <w:style w:type="table" w:customStyle="1" w:styleId="Mkatabulky1">
    <w:name w:val="Mřížka tabulky1"/>
    <w:basedOn w:val="Normlntabulka"/>
    <w:next w:val="Mkatabulky"/>
    <w:uiPriority w:val="59"/>
    <w:rsid w:val="00F43387"/>
    <w:rPr>
      <w:rFonts w:eastAsia="Batan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poznpodarouChar">
    <w:name w:val="Text pozn. pod čarou Char"/>
    <w:aliases w:val="Schriftart: 9 pt Char,Schriftart: 10 pt Char,Schriftart: 8 pt Char"/>
    <w:link w:val="Textpoznpodarou"/>
    <w:uiPriority w:val="99"/>
    <w:rsid w:val="00A33152"/>
    <w:rPr>
      <w:lang w:eastAsia="en-US"/>
    </w:rPr>
  </w:style>
  <w:style w:type="paragraph" w:customStyle="1" w:styleId="Nadpiskonc1">
    <w:name w:val="Nadpis_konc1"/>
    <w:basedOn w:val="Normln"/>
    <w:qFormat/>
    <w:rsid w:val="00DA15E4"/>
    <w:pPr>
      <w:numPr>
        <w:numId w:val="9"/>
      </w:numPr>
    </w:pPr>
    <w:rPr>
      <w:b/>
      <w:caps/>
      <w:sz w:val="40"/>
      <w:szCs w:val="40"/>
    </w:rPr>
  </w:style>
  <w:style w:type="paragraph" w:customStyle="1" w:styleId="Nadpiskonc2">
    <w:name w:val="Nadpis_konc2"/>
    <w:basedOn w:val="Normln"/>
    <w:qFormat/>
    <w:rsid w:val="00DA15E4"/>
    <w:pPr>
      <w:numPr>
        <w:ilvl w:val="1"/>
        <w:numId w:val="1"/>
      </w:numPr>
    </w:pPr>
    <w:rPr>
      <w:b/>
      <w:sz w:val="28"/>
      <w:szCs w:val="28"/>
      <w:u w:val="single"/>
    </w:rPr>
  </w:style>
  <w:style w:type="paragraph" w:customStyle="1" w:styleId="nadkonc3">
    <w:name w:val="nad_konc3"/>
    <w:basedOn w:val="Nadpiskonc2"/>
    <w:qFormat/>
    <w:rsid w:val="00DA15E4"/>
    <w:pPr>
      <w:numPr>
        <w:ilvl w:val="2"/>
      </w:numPr>
    </w:pPr>
    <w:rPr>
      <w:rFonts w:ascii="Verdana" w:hAnsi="Verdana"/>
      <w:sz w:val="24"/>
      <w:szCs w:val="24"/>
      <w:u w:val="none"/>
    </w:rPr>
  </w:style>
  <w:style w:type="character" w:customStyle="1" w:styleId="Nadpis4Char">
    <w:name w:val="Nadpis 4 Char"/>
    <w:basedOn w:val="Standardnpsmoodstavce"/>
    <w:link w:val="Nadpis4"/>
    <w:uiPriority w:val="9"/>
    <w:semiHidden/>
    <w:rsid w:val="0005115F"/>
    <w:rPr>
      <w:rFonts w:asciiTheme="minorHAnsi" w:eastAsiaTheme="minorEastAsia" w:hAnsiTheme="minorHAnsi" w:cstheme="minorBidi"/>
      <w:b/>
      <w:bCs/>
      <w:sz w:val="28"/>
      <w:szCs w:val="28"/>
      <w:lang w:eastAsia="en-US"/>
    </w:rPr>
  </w:style>
  <w:style w:type="character" w:customStyle="1" w:styleId="Nadpis5Char">
    <w:name w:val="Nadpis 5 Char"/>
    <w:basedOn w:val="Standardnpsmoodstavce"/>
    <w:link w:val="Nadpis5"/>
    <w:uiPriority w:val="9"/>
    <w:semiHidden/>
    <w:rsid w:val="0005115F"/>
    <w:rPr>
      <w:rFonts w:asciiTheme="minorHAnsi" w:eastAsiaTheme="minorEastAsia" w:hAnsiTheme="minorHAnsi" w:cstheme="minorBidi"/>
      <w:b/>
      <w:bCs/>
      <w:i/>
      <w:iCs/>
      <w:sz w:val="26"/>
      <w:szCs w:val="26"/>
      <w:lang w:eastAsia="en-US"/>
    </w:rPr>
  </w:style>
  <w:style w:type="character" w:customStyle="1" w:styleId="Nadpis6Char">
    <w:name w:val="Nadpis 6 Char"/>
    <w:basedOn w:val="Standardnpsmoodstavce"/>
    <w:link w:val="Nadpis6"/>
    <w:uiPriority w:val="9"/>
    <w:semiHidden/>
    <w:rsid w:val="0005115F"/>
    <w:rPr>
      <w:rFonts w:asciiTheme="minorHAnsi" w:eastAsiaTheme="minorEastAsia" w:hAnsiTheme="minorHAnsi" w:cstheme="minorBidi"/>
      <w:b/>
      <w:bCs/>
      <w:sz w:val="22"/>
      <w:szCs w:val="22"/>
      <w:lang w:eastAsia="en-US"/>
    </w:rPr>
  </w:style>
  <w:style w:type="character" w:customStyle="1" w:styleId="Nadpis7Char">
    <w:name w:val="Nadpis 7 Char"/>
    <w:basedOn w:val="Standardnpsmoodstavce"/>
    <w:link w:val="Nadpis7"/>
    <w:uiPriority w:val="9"/>
    <w:semiHidden/>
    <w:rsid w:val="0005115F"/>
    <w:rPr>
      <w:rFonts w:asciiTheme="minorHAnsi" w:eastAsiaTheme="minorEastAsia" w:hAnsiTheme="minorHAnsi" w:cstheme="minorBidi"/>
      <w:sz w:val="24"/>
      <w:szCs w:val="24"/>
      <w:lang w:eastAsia="en-US"/>
    </w:rPr>
  </w:style>
  <w:style w:type="character" w:customStyle="1" w:styleId="Nadpis9Char">
    <w:name w:val="Nadpis 9 Char"/>
    <w:basedOn w:val="Standardnpsmoodstavce"/>
    <w:link w:val="Nadpis9"/>
    <w:uiPriority w:val="9"/>
    <w:semiHidden/>
    <w:rsid w:val="0005115F"/>
    <w:rPr>
      <w:rFonts w:asciiTheme="majorHAnsi" w:eastAsiaTheme="majorEastAsia" w:hAnsiTheme="majorHAnsi" w:cstheme="majorBidi"/>
      <w:sz w:val="22"/>
      <w:szCs w:val="22"/>
      <w:lang w:eastAsia="en-US"/>
    </w:rPr>
  </w:style>
  <w:style w:type="character" w:customStyle="1" w:styleId="Nadpis8Char">
    <w:name w:val="Nadpis 8 Char"/>
    <w:basedOn w:val="Standardnpsmoodstavce"/>
    <w:link w:val="Nadpis8"/>
    <w:uiPriority w:val="9"/>
    <w:semiHidden/>
    <w:rsid w:val="0005115F"/>
    <w:rPr>
      <w:rFonts w:asciiTheme="minorHAnsi" w:eastAsiaTheme="minorEastAsia" w:hAnsiTheme="minorHAnsi" w:cstheme="minorBidi"/>
      <w:i/>
      <w:iCs/>
      <w:sz w:val="24"/>
      <w:szCs w:val="24"/>
      <w:lang w:eastAsia="en-US"/>
    </w:rPr>
  </w:style>
  <w:style w:type="paragraph" w:styleId="Normlnweb">
    <w:name w:val="Normal (Web)"/>
    <w:basedOn w:val="Normln"/>
    <w:unhideWhenUsed/>
    <w:rsid w:val="00896C3A"/>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
    <w:name w:val="Default"/>
    <w:rsid w:val="000917EE"/>
    <w:pPr>
      <w:autoSpaceDE w:val="0"/>
      <w:autoSpaceDN w:val="0"/>
      <w:adjustRightInd w:val="0"/>
    </w:pPr>
    <w:rPr>
      <w:rFonts w:ascii="Verdana" w:hAnsi="Verdana" w:cs="Verdana"/>
      <w:color w:val="000000"/>
      <w:sz w:val="24"/>
      <w:szCs w:val="24"/>
    </w:rPr>
  </w:style>
  <w:style w:type="character" w:styleId="Odkaznakoment">
    <w:name w:val="annotation reference"/>
    <w:basedOn w:val="Standardnpsmoodstavce"/>
    <w:uiPriority w:val="99"/>
    <w:semiHidden/>
    <w:unhideWhenUsed/>
    <w:rsid w:val="00C72C0B"/>
    <w:rPr>
      <w:sz w:val="16"/>
      <w:szCs w:val="16"/>
    </w:rPr>
  </w:style>
  <w:style w:type="paragraph" w:styleId="Textkomente">
    <w:name w:val="annotation text"/>
    <w:basedOn w:val="Normln"/>
    <w:link w:val="TextkomenteChar"/>
    <w:uiPriority w:val="99"/>
    <w:semiHidden/>
    <w:unhideWhenUsed/>
    <w:rsid w:val="00C72C0B"/>
    <w:rPr>
      <w:sz w:val="20"/>
      <w:szCs w:val="20"/>
    </w:rPr>
  </w:style>
  <w:style w:type="character" w:customStyle="1" w:styleId="TextkomenteChar">
    <w:name w:val="Text komentáře Char"/>
    <w:basedOn w:val="Standardnpsmoodstavce"/>
    <w:link w:val="Textkomente"/>
    <w:uiPriority w:val="99"/>
    <w:semiHidden/>
    <w:rsid w:val="00C72C0B"/>
    <w:rPr>
      <w:lang w:eastAsia="en-US"/>
    </w:rPr>
  </w:style>
  <w:style w:type="paragraph" w:styleId="Pedmtkomente">
    <w:name w:val="annotation subject"/>
    <w:basedOn w:val="Textkomente"/>
    <w:next w:val="Textkomente"/>
    <w:link w:val="PedmtkomenteChar"/>
    <w:uiPriority w:val="99"/>
    <w:semiHidden/>
    <w:unhideWhenUsed/>
    <w:rsid w:val="00C72C0B"/>
    <w:rPr>
      <w:b/>
      <w:bCs/>
    </w:rPr>
  </w:style>
  <w:style w:type="character" w:customStyle="1" w:styleId="PedmtkomenteChar">
    <w:name w:val="Předmět komentáře Char"/>
    <w:basedOn w:val="TextkomenteChar"/>
    <w:link w:val="Pedmtkomente"/>
    <w:uiPriority w:val="99"/>
    <w:semiHidden/>
    <w:rsid w:val="00C72C0B"/>
    <w:rPr>
      <w:b/>
      <w:bCs/>
    </w:rPr>
  </w:style>
  <w:style w:type="paragraph" w:customStyle="1" w:styleId="Kd">
    <w:name w:val="Kód"/>
    <w:basedOn w:val="Normln"/>
    <w:link w:val="KdChar"/>
    <w:qFormat/>
    <w:rsid w:val="00403468"/>
    <w:pPr>
      <w:spacing w:after="0" w:line="240" w:lineRule="auto"/>
      <w:jc w:val="center"/>
    </w:pPr>
    <w:rPr>
      <w:rFonts w:ascii="Verdana" w:eastAsiaTheme="minorHAnsi" w:hAnsi="Verdana" w:cstheme="minorBidi"/>
      <w:b/>
      <w:color w:val="FFFFFF" w:themeColor="background1"/>
      <w:sz w:val="20"/>
      <w:szCs w:val="20"/>
    </w:rPr>
  </w:style>
  <w:style w:type="character" w:customStyle="1" w:styleId="KdChar">
    <w:name w:val="Kód Char"/>
    <w:basedOn w:val="Standardnpsmoodstavce"/>
    <w:link w:val="Kd"/>
    <w:rsid w:val="00403468"/>
    <w:rPr>
      <w:rFonts w:ascii="Verdana" w:eastAsiaTheme="minorHAnsi" w:hAnsi="Verdana" w:cstheme="minorBidi"/>
      <w:b/>
      <w:color w:val="FFFFFF" w:themeColor="background1"/>
      <w:lang w:eastAsia="en-US"/>
    </w:rPr>
  </w:style>
  <w:style w:type="character" w:styleId="Sledovanodkaz">
    <w:name w:val="FollowedHyperlink"/>
    <w:basedOn w:val="Standardnpsmoodstavce"/>
    <w:uiPriority w:val="99"/>
    <w:semiHidden/>
    <w:unhideWhenUsed/>
    <w:rsid w:val="005679C3"/>
    <w:rPr>
      <w:color w:val="800080" w:themeColor="followedHyperlink"/>
      <w:u w:val="single"/>
    </w:rPr>
  </w:style>
  <w:style w:type="paragraph" w:styleId="Revize">
    <w:name w:val="Revision"/>
    <w:hidden/>
    <w:uiPriority w:val="99"/>
    <w:semiHidden/>
    <w:rsid w:val="001B7CE3"/>
    <w:rPr>
      <w:sz w:val="22"/>
      <w:szCs w:val="22"/>
      <w:lang w:eastAsia="en-US"/>
    </w:rPr>
  </w:style>
  <w:style w:type="character" w:customStyle="1" w:styleId="apple-style-span">
    <w:name w:val="apple-style-span"/>
    <w:basedOn w:val="Standardnpsmoodstavce"/>
    <w:rsid w:val="003D5AC2"/>
  </w:style>
  <w:style w:type="character" w:customStyle="1" w:styleId="apple-converted-space">
    <w:name w:val="apple-converted-space"/>
    <w:basedOn w:val="Standardnpsmoodstavce"/>
    <w:rsid w:val="003D5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01445">
      <w:bodyDiv w:val="1"/>
      <w:marLeft w:val="0"/>
      <w:marRight w:val="0"/>
      <w:marTop w:val="0"/>
      <w:marBottom w:val="0"/>
      <w:divBdr>
        <w:top w:val="none" w:sz="0" w:space="0" w:color="auto"/>
        <w:left w:val="none" w:sz="0" w:space="0" w:color="auto"/>
        <w:bottom w:val="none" w:sz="0" w:space="0" w:color="auto"/>
        <w:right w:val="none" w:sz="0" w:space="0" w:color="auto"/>
      </w:divBdr>
    </w:div>
    <w:div w:id="101074093">
      <w:bodyDiv w:val="1"/>
      <w:marLeft w:val="0"/>
      <w:marRight w:val="0"/>
      <w:marTop w:val="0"/>
      <w:marBottom w:val="0"/>
      <w:divBdr>
        <w:top w:val="none" w:sz="0" w:space="0" w:color="auto"/>
        <w:left w:val="none" w:sz="0" w:space="0" w:color="auto"/>
        <w:bottom w:val="none" w:sz="0" w:space="0" w:color="auto"/>
        <w:right w:val="none" w:sz="0" w:space="0" w:color="auto"/>
      </w:divBdr>
    </w:div>
    <w:div w:id="176579321">
      <w:bodyDiv w:val="1"/>
      <w:marLeft w:val="0"/>
      <w:marRight w:val="0"/>
      <w:marTop w:val="0"/>
      <w:marBottom w:val="0"/>
      <w:divBdr>
        <w:top w:val="none" w:sz="0" w:space="0" w:color="auto"/>
        <w:left w:val="none" w:sz="0" w:space="0" w:color="auto"/>
        <w:bottom w:val="none" w:sz="0" w:space="0" w:color="auto"/>
        <w:right w:val="none" w:sz="0" w:space="0" w:color="auto"/>
      </w:divBdr>
    </w:div>
    <w:div w:id="458692065">
      <w:bodyDiv w:val="1"/>
      <w:marLeft w:val="0"/>
      <w:marRight w:val="0"/>
      <w:marTop w:val="0"/>
      <w:marBottom w:val="0"/>
      <w:divBdr>
        <w:top w:val="none" w:sz="0" w:space="0" w:color="auto"/>
        <w:left w:val="none" w:sz="0" w:space="0" w:color="auto"/>
        <w:bottom w:val="none" w:sz="0" w:space="0" w:color="auto"/>
        <w:right w:val="none" w:sz="0" w:space="0" w:color="auto"/>
      </w:divBdr>
    </w:div>
    <w:div w:id="537551189">
      <w:bodyDiv w:val="1"/>
      <w:marLeft w:val="0"/>
      <w:marRight w:val="0"/>
      <w:marTop w:val="0"/>
      <w:marBottom w:val="0"/>
      <w:divBdr>
        <w:top w:val="none" w:sz="0" w:space="0" w:color="auto"/>
        <w:left w:val="none" w:sz="0" w:space="0" w:color="auto"/>
        <w:bottom w:val="none" w:sz="0" w:space="0" w:color="auto"/>
        <w:right w:val="none" w:sz="0" w:space="0" w:color="auto"/>
      </w:divBdr>
    </w:div>
    <w:div w:id="1115247176">
      <w:bodyDiv w:val="1"/>
      <w:marLeft w:val="0"/>
      <w:marRight w:val="0"/>
      <w:marTop w:val="0"/>
      <w:marBottom w:val="0"/>
      <w:divBdr>
        <w:top w:val="none" w:sz="0" w:space="0" w:color="auto"/>
        <w:left w:val="none" w:sz="0" w:space="0" w:color="auto"/>
        <w:bottom w:val="none" w:sz="0" w:space="0" w:color="auto"/>
        <w:right w:val="none" w:sz="0" w:space="0" w:color="auto"/>
      </w:divBdr>
    </w:div>
    <w:div w:id="1222790622">
      <w:bodyDiv w:val="1"/>
      <w:marLeft w:val="0"/>
      <w:marRight w:val="0"/>
      <w:marTop w:val="0"/>
      <w:marBottom w:val="0"/>
      <w:divBdr>
        <w:top w:val="none" w:sz="0" w:space="0" w:color="auto"/>
        <w:left w:val="none" w:sz="0" w:space="0" w:color="auto"/>
        <w:bottom w:val="none" w:sz="0" w:space="0" w:color="auto"/>
        <w:right w:val="none" w:sz="0" w:space="0" w:color="auto"/>
      </w:divBdr>
    </w:div>
    <w:div w:id="1252815368">
      <w:bodyDiv w:val="1"/>
      <w:marLeft w:val="0"/>
      <w:marRight w:val="0"/>
      <w:marTop w:val="0"/>
      <w:marBottom w:val="0"/>
      <w:divBdr>
        <w:top w:val="none" w:sz="0" w:space="0" w:color="auto"/>
        <w:left w:val="none" w:sz="0" w:space="0" w:color="auto"/>
        <w:bottom w:val="none" w:sz="0" w:space="0" w:color="auto"/>
        <w:right w:val="none" w:sz="0" w:space="0" w:color="auto"/>
      </w:divBdr>
    </w:div>
    <w:div w:id="1510875382">
      <w:bodyDiv w:val="1"/>
      <w:marLeft w:val="0"/>
      <w:marRight w:val="0"/>
      <w:marTop w:val="0"/>
      <w:marBottom w:val="0"/>
      <w:divBdr>
        <w:top w:val="none" w:sz="0" w:space="0" w:color="auto"/>
        <w:left w:val="none" w:sz="0" w:space="0" w:color="auto"/>
        <w:bottom w:val="none" w:sz="0" w:space="0" w:color="auto"/>
        <w:right w:val="none" w:sz="0" w:space="0" w:color="auto"/>
      </w:divBdr>
    </w:div>
    <w:div w:id="1698459945">
      <w:bodyDiv w:val="1"/>
      <w:marLeft w:val="0"/>
      <w:marRight w:val="0"/>
      <w:marTop w:val="0"/>
      <w:marBottom w:val="0"/>
      <w:divBdr>
        <w:top w:val="none" w:sz="0" w:space="0" w:color="auto"/>
        <w:left w:val="none" w:sz="0" w:space="0" w:color="auto"/>
        <w:bottom w:val="none" w:sz="0" w:space="0" w:color="auto"/>
        <w:right w:val="none" w:sz="0" w:space="0" w:color="auto"/>
      </w:divBdr>
    </w:div>
    <w:div w:id="1782458215">
      <w:bodyDiv w:val="1"/>
      <w:marLeft w:val="0"/>
      <w:marRight w:val="0"/>
      <w:marTop w:val="0"/>
      <w:marBottom w:val="0"/>
      <w:divBdr>
        <w:top w:val="none" w:sz="0" w:space="0" w:color="auto"/>
        <w:left w:val="none" w:sz="0" w:space="0" w:color="auto"/>
        <w:bottom w:val="none" w:sz="0" w:space="0" w:color="auto"/>
        <w:right w:val="none" w:sz="0" w:space="0" w:color="auto"/>
      </w:divBdr>
    </w:div>
    <w:div w:id="1875381083">
      <w:bodyDiv w:val="1"/>
      <w:marLeft w:val="0"/>
      <w:marRight w:val="0"/>
      <w:marTop w:val="0"/>
      <w:marBottom w:val="0"/>
      <w:divBdr>
        <w:top w:val="none" w:sz="0" w:space="0" w:color="auto"/>
        <w:left w:val="none" w:sz="0" w:space="0" w:color="auto"/>
        <w:bottom w:val="none" w:sz="0" w:space="0" w:color="auto"/>
        <w:right w:val="none" w:sz="0" w:space="0" w:color="auto"/>
      </w:divBdr>
    </w:div>
    <w:div w:id="21034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List_aplikace_Microsoft_Office_Excel_97-20031.xls"/><Relationship Id="rId18" Type="http://schemas.openxmlformats.org/officeDocument/2006/relationships/hyperlink" Target="http://www.czso.cz/csu/klasifik.nsf/i/setreni_o_vzdelavani_zamestnancu_podniku_a_dalsich_ekonomickych_subjektu_cvts_4" TargetMode="External"/><Relationship Id="rId26" Type="http://schemas.openxmlformats.org/officeDocument/2006/relationships/hyperlink" Target="http://circa.europa.eu/Public/irc/dsis/edtcs/library?l=/public/measuring_lifelong/education_survey/document_130906circadoc/_EN_3.5_&amp;a=d" TargetMode="External"/><Relationship Id="rId39" Type="http://schemas.openxmlformats.org/officeDocument/2006/relationships/hyperlink" Target="http://www.skoleni-kurzy-educity.cz/" TargetMode="External"/><Relationship Id="rId21" Type="http://schemas.openxmlformats.org/officeDocument/2006/relationships/hyperlink" Target="Priloha6_Dotazn&#237;ky" TargetMode="External"/><Relationship Id="rId34" Type="http://schemas.openxmlformats.org/officeDocument/2006/relationships/hyperlink" Target="http://www.piaac.cz/" TargetMode="External"/><Relationship Id="rId42" Type="http://schemas.openxmlformats.org/officeDocument/2006/relationships/hyperlink" Target="http://www.uiv.cz/clanek/512/1857" TargetMode="External"/><Relationship Id="rId47" Type="http://schemas.openxmlformats.org/officeDocument/2006/relationships/hyperlink" Target="http://www.czso.cz/csu/klasifik.nsf/i/ispv_(mpsv)_v_1_04_2011" TargetMode="External"/><Relationship Id="rId50" Type="http://schemas.openxmlformats.org/officeDocument/2006/relationships/hyperlink" Target="http://www.czso.cz/csu/2011edicniplan.nsf/p/3109-11" TargetMode="External"/><Relationship Id="rId55" Type="http://schemas.openxmlformats.org/officeDocument/2006/relationships/hyperlink" Target="http://apl.czso.cz/pll/vykazy/pdf113?xvyk=1639&amp;cd=0" TargetMode="External"/><Relationship Id="rId63" Type="http://schemas.openxmlformats.org/officeDocument/2006/relationships/hyperlink" Target="http://delta.uiv.cz/set11/vybskols.asp" TargetMode="External"/><Relationship Id="rId68" Type="http://schemas.openxmlformats.org/officeDocument/2006/relationships/hyperlink" Target="http://circa.europa.eu/Public/irc/dsis/emisannexes/library?l=/data_-_database/theme_3_-_popul/isoc/methodological_informati&amp;vm=detailed&amp;sb=Title"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hyperlink" Target="http://circa.europa.eu/Public/irc/dsis/edtcs/library?l=/public/measuring_lifelong/education_survey&amp;vm=detailed&amp;sb=Title" TargetMode="External"/><Relationship Id="rId11" Type="http://schemas.openxmlformats.org/officeDocument/2006/relationships/package" Target="embeddings/List_aplikace_Microsoft_Office_Excel1.xlsx"/><Relationship Id="rId24" Type="http://schemas.openxmlformats.org/officeDocument/2006/relationships/hyperlink" Target="http://www.czso.cz/csu/2009edicniplan.nsf/p/3101-09" TargetMode="External"/><Relationship Id="rId32" Type="http://schemas.openxmlformats.org/officeDocument/2006/relationships/hyperlink" Target="http://circa.europa.eu/Public/irc/dsis/edtcs/library?l=/public/continuing_vocational" TargetMode="External"/><Relationship Id="rId37" Type="http://schemas.openxmlformats.org/officeDocument/2006/relationships/hyperlink" Target="http://circa.europa.eu/Public/irc/dsis/edtcs/library?l=/public/unesco_collection/2009&amp;vm=detailed&amp;sb=Title" TargetMode="External"/><Relationship Id="rId40" Type="http://schemas.openxmlformats.org/officeDocument/2006/relationships/hyperlink" Target="http://www.eu-dat.cz" TargetMode="External"/><Relationship Id="rId45" Type="http://schemas.openxmlformats.org/officeDocument/2006/relationships/hyperlink" Target="http://portal.mpsv.cz/" TargetMode="External"/><Relationship Id="rId53" Type="http://schemas.openxmlformats.org/officeDocument/2006/relationships/hyperlink" Target="http://epp.eurostat.ec.europa.eu/cache/ITY_PUBLIC/OSLO/EN/OSLO-EN.PDF" TargetMode="External"/><Relationship Id="rId58" Type="http://schemas.openxmlformats.org/officeDocument/2006/relationships/hyperlink" Target="http://www.cedefop.europa.eu/EN/Information-services/vet-in-europe-country-reports.aspx" TargetMode="External"/><Relationship Id="rId66" Type="http://schemas.openxmlformats.org/officeDocument/2006/relationships/hyperlink" Target="http://apl.czso.cz/pll/vykazy/pdf113?xvyk=1743&amp;cd=0" TargetMode="External"/><Relationship Id="rId5" Type="http://schemas.openxmlformats.org/officeDocument/2006/relationships/webSettings" Target="webSettings.xml"/><Relationship Id="rId15" Type="http://schemas.openxmlformats.org/officeDocument/2006/relationships/oleObject" Target="embeddings/List_aplikace_Microsoft_Office_Excel_97-20032.xls"/><Relationship Id="rId23" Type="http://schemas.openxmlformats.org/officeDocument/2006/relationships/hyperlink" Target="http://circa.europa.eu/irc/dsis/employment/info/data/eu_lfs/LFS_CORE_National_Questionnaires/index_LFS_CORE_Questionnaires_by_years.htm" TargetMode="External"/><Relationship Id="rId28" Type="http://schemas.openxmlformats.org/officeDocument/2006/relationships/hyperlink" Target="http://www.czso.cz/csu/2009edicniplan.nsf/t/EE0048ED4D/$File/331309k01.pdf" TargetMode="External"/><Relationship Id="rId36" Type="http://schemas.openxmlformats.org/officeDocument/2006/relationships/hyperlink" Target="http://www.uiv.cz/clanek/447/1800" TargetMode="External"/><Relationship Id="rId49" Type="http://schemas.openxmlformats.org/officeDocument/2006/relationships/hyperlink" Target="http://www.ispv.cz/cz/" TargetMode="External"/><Relationship Id="rId57" Type="http://schemas.openxmlformats.org/officeDocument/2006/relationships/hyperlink" Target="http://epp.eurostat.ec.europa.eu/cache/ITY_SDDS/en/lcs_esms.htm" TargetMode="External"/><Relationship Id="rId61" Type="http://schemas.openxmlformats.org/officeDocument/2006/relationships/hyperlink" Target="http://epp.eurostat.ec.europa.eu/cache/ITY_SDDS/en/lmp_esms.htm" TargetMode="External"/><Relationship Id="rId10" Type="http://schemas.openxmlformats.org/officeDocument/2006/relationships/image" Target="media/image2.emf"/><Relationship Id="rId19" Type="http://schemas.openxmlformats.org/officeDocument/2006/relationships/hyperlink" Target="Priloha3_prehled%20indikatoru.xlsx" TargetMode="External"/><Relationship Id="rId31" Type="http://schemas.openxmlformats.org/officeDocument/2006/relationships/hyperlink" Target="http://www.czso.cz/csu/2008edicniplan.nsf/p/3311-08" TargetMode="External"/><Relationship Id="rId44" Type="http://schemas.openxmlformats.org/officeDocument/2006/relationships/hyperlink" Target="http://www.uiv.cz/clanek/95/362" TargetMode="External"/><Relationship Id="rId52" Type="http://schemas.openxmlformats.org/officeDocument/2006/relationships/hyperlink" Target="http://epp.eurostat.ec.europa.eu/cache/ITY_SDDS/en/inn_esms.htm" TargetMode="External"/><Relationship Id="rId60" Type="http://schemas.openxmlformats.org/officeDocument/2006/relationships/hyperlink" Target="http://www.imd.org/research/publications/wcy/index.cfm" TargetMode="External"/><Relationship Id="rId65" Type="http://schemas.openxmlformats.org/officeDocument/2006/relationships/hyperlink" Target="http://circa.europa.eu/Public/irc/dsis/emisannexes/library?l=/data_-_database/theme_3_-_popul/isoc/householdsindiv&amp;vm=detailed&amp;sb=Titl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hyperlink" Target="Priloha7_W6%20-%20zapis.pdf" TargetMode="External"/><Relationship Id="rId27" Type="http://schemas.openxmlformats.org/officeDocument/2006/relationships/hyperlink" Target="http://www.czso.cz/csu/2009edicniplan.nsf/p/3313-09" TargetMode="External"/><Relationship Id="rId30" Type="http://schemas.openxmlformats.org/officeDocument/2006/relationships/hyperlink" Target="http://circa.europa.eu/Public/irc/dsis/edtcs/library?l=/public/continuing_vocational/master_finalpdf/_EN_1.0_&amp;a=d" TargetMode="External"/><Relationship Id="rId35" Type="http://schemas.openxmlformats.org/officeDocument/2006/relationships/hyperlink" Target="http://www.oecd.org/document/35/0,3343,en_2649_39263238_40277475_1_1_1_1,00.html" TargetMode="External"/><Relationship Id="rId43" Type="http://schemas.openxmlformats.org/officeDocument/2006/relationships/hyperlink" Target="http://www.uiv.cz/clanek/389/1801" TargetMode="External"/><Relationship Id="rId48" Type="http://schemas.openxmlformats.org/officeDocument/2006/relationships/hyperlink" Target="http://www.ispv.cz/cz/Pro-respondenty-setreni/Prirucka.aspx" TargetMode="External"/><Relationship Id="rId56" Type="http://schemas.openxmlformats.org/officeDocument/2006/relationships/hyperlink" Target="http://www.czso.cz/csu/2010edicniplan.nsf/p/3112-10" TargetMode="External"/><Relationship Id="rId64" Type="http://schemas.openxmlformats.org/officeDocument/2006/relationships/hyperlink" Target="http://delta.uiv.cz/set11_vos/vybskols_VOS.asp" TargetMode="External"/><Relationship Id="rId69" Type="http://schemas.openxmlformats.org/officeDocument/2006/relationships/hyperlink" Target="http://circa.europa.eu/Public/irc/dsis/emisannexes/library?l=/data_-_database/theme_3_-_popul/isoc/country_enterprise/isoc_sdds_czhtm/_EN_1.0_&amp;a=d" TargetMode="External"/><Relationship Id="rId8" Type="http://schemas.openxmlformats.org/officeDocument/2006/relationships/header" Target="header1.xml"/><Relationship Id="rId51" Type="http://schemas.openxmlformats.org/officeDocument/2006/relationships/hyperlink" Target="http://apl.czso.cz/pll/vykazy/pdfsoub?xid=1621&amp;xtyp=V"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List_aplikace_Microsoft_Office_Excel_97-20033.xls"/><Relationship Id="rId25" Type="http://schemas.openxmlformats.org/officeDocument/2006/relationships/hyperlink" Target="http://circa.europa.eu/irc/dsis/employment/info/data/eu_lfs/index.htm" TargetMode="External"/><Relationship Id="rId33" Type="http://schemas.openxmlformats.org/officeDocument/2006/relationships/hyperlink" Target="http://www.oecd.org/dataoecd/1/41/48442549.pdf" TargetMode="External"/><Relationship Id="rId38" Type="http://schemas.openxmlformats.org/officeDocument/2006/relationships/hyperlink" Target="http://www.uiv.cz/clanek/447/1800" TargetMode="External"/><Relationship Id="rId46" Type="http://schemas.openxmlformats.org/officeDocument/2006/relationships/hyperlink" Target="http://portal.mpsv.cz/" TargetMode="External"/><Relationship Id="rId59" Type="http://schemas.openxmlformats.org/officeDocument/2006/relationships/hyperlink" Target="http://www.refernet.cz" TargetMode="External"/><Relationship Id="rId67" Type="http://schemas.openxmlformats.org/officeDocument/2006/relationships/hyperlink" Target="http://epp.eurostat.ec.europa.eu/cache/ITY_SDDS/en/isoc_pi_esms.htm" TargetMode="External"/><Relationship Id="rId20" Type="http://schemas.openxmlformats.org/officeDocument/2006/relationships/hyperlink" Target="Priloha5_podkladova_studie_nabidka.pdf" TargetMode="External"/><Relationship Id="rId41" Type="http://schemas.openxmlformats.org/officeDocument/2006/relationships/hyperlink" Target="http://www.edumenu.cz/" TargetMode="External"/><Relationship Id="rId54" Type="http://schemas.openxmlformats.org/officeDocument/2006/relationships/hyperlink" Target="http://www.czso.cz/csu/redakce.nsf/i/statistika_inovaci" TargetMode="External"/><Relationship Id="rId62" Type="http://schemas.openxmlformats.org/officeDocument/2006/relationships/hyperlink" Target="http://www.msmt.cz/vzdelavani/pruzkum-akreditaci-msmt-k-rekvalifikacim-za-rok-2002-1" TargetMode="External"/><Relationship Id="rId70" Type="http://schemas.openxmlformats.org/officeDocument/2006/relationships/header" Target="head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7B37-F8C1-40B1-9EDF-FA90FFBB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126</Pages>
  <Words>32774</Words>
  <Characters>193372</Characters>
  <Application>Microsoft Office Word</Application>
  <DocSecurity>8</DocSecurity>
  <Lines>1611</Lines>
  <Paragraphs>451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MONITORING NABÍDKY DALŠÍHO VZDĚLÁVÁNÍ</vt:lpstr>
      <vt:lpstr>MONITORING NABÍDKY DALŠÍHO VZDĚLÁVÁNÍ</vt:lpstr>
    </vt:vector>
  </TitlesOfParts>
  <Company>NVF</Company>
  <LinksUpToDate>false</LinksUpToDate>
  <CharactersWithSpaces>225695</CharactersWithSpaces>
  <SharedDoc>false</SharedDoc>
  <HLinks>
    <vt:vector size="6" baseType="variant">
      <vt:variant>
        <vt:i4>1245208</vt:i4>
      </vt:variant>
      <vt:variant>
        <vt:i4>48</vt:i4>
      </vt:variant>
      <vt:variant>
        <vt:i4>0</vt:i4>
      </vt:variant>
      <vt:variant>
        <vt:i4>5</vt:i4>
      </vt:variant>
      <vt:variant>
        <vt:lpwstr>http://www.jazykovky.cz/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NABÍDKY DALŠÍHO VZDĚLÁVÁNÍ</dc:title>
  <dc:subject/>
  <dc:creator>zackova</dc:creator>
  <cp:keywords/>
  <dc:description/>
  <cp:lastModifiedBy>salavova</cp:lastModifiedBy>
  <cp:revision>78</cp:revision>
  <cp:lastPrinted>2011-09-29T14:49:00Z</cp:lastPrinted>
  <dcterms:created xsi:type="dcterms:W3CDTF">2011-09-29T09:25:00Z</dcterms:created>
  <dcterms:modified xsi:type="dcterms:W3CDTF">2011-10-13T13:04:00Z</dcterms:modified>
</cp:coreProperties>
</file>